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Mays Ray 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508 W WALL STREET SUITE 800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MIDLAND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DAWSON GEOPHYSICAL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DWSN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68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10/27/2025</w:t>
            </w: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EVP &amp; Chief Operating Officer</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68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Dawson Geophysical Company-Common</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10/27/2025</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100,000</w:t>
            </w:r>
            <w:r>
              <w:rPr>
                <w:rFonts w:ascii="Times New Roman" w:cs="Times New Roman" w:eastAsia="Times New Roman" w:hAnsi="Times New Roman"/>
                <w:sz w:val="22"/>
                <w:szCs w:val="22"/>
                <w:color w:val="008000"/>
                <w:vertAlign w:val="superscript"/>
              </w:rPr>
              <w:t>(1)</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7"/>
                <w:szCs w:val="17"/>
                <w:color w:val="0000FF"/>
              </w:rPr>
              <w:t>108,500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Stock $0.01 par value</w:t>
            </w: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260" w:type="dxa"/>
            <w:vAlign w:val="bottom"/>
            <w:tcBorders>
              <w:bottom w:val="single" w:sz="8" w:color="2C2C2C"/>
            </w:tcBorders>
            <w:gridSpan w:val="11"/>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granted to the reporting person under the Amended and Restated Dawson Geophysical Company 2016 Stock and Performance Incentive Plan. Each restricted stock unit represents the contingent right to receive one share of the Issuer's Class A common stock, par value $0.01 per share, and will vest in three equal annual installments beginning in October 2026.</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Ray Mays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10/28/2025</w:t>
            </w:r>
          </w:p>
        </w:tc>
      </w:tr>
      <w:tr>
        <w:trPr>
          <w:trHeight w:val="20"/>
        </w:trPr>
        <w:tc>
          <w:tcPr>
            <w:tcW w:w="9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81288" TargetMode="External"/><Relationship Id="rId14" Type="http://schemas.openxmlformats.org/officeDocument/2006/relationships/hyperlink" Target="http://www.sec.gov/cgi-bin/browse-edgar?action=getcompany&amp;CIK=00007991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2025-10-28T15:15:57Z</dcterms:created>
  <dcterms:modified xsi:type="dcterms:W3CDTF">2025-10-28T15:15:57Z</dcterms:modified>
</cp:coreProperties>
</file>