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380" w:right="60"/>
        <w:spacing w:after="0" w:line="25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-241300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86"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-694690</wp:posOffset>
            </wp:positionV>
            <wp:extent cx="128905"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5173345</wp:posOffset>
            </wp:positionH>
            <wp:positionV relativeFrom="paragraph">
              <wp:posOffset>4445</wp:posOffset>
            </wp:positionV>
            <wp:extent cx="59690" cy="670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70560"/>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4445</wp:posOffset>
            </wp:positionV>
            <wp:extent cx="59690" cy="670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670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7"/>
        </w:trPr>
        <w:tc>
          <w:tcPr>
            <w:tcW w:w="6160" w:type="dxa"/>
            <w:vAlign w:val="bottom"/>
            <w:vMerge w:val="restart"/>
          </w:tcPr>
          <w:p>
            <w:pPr>
              <w:jc w:val="center"/>
              <w:ind w:right="245"/>
              <w:spacing w:after="0" w:line="237"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4"/>
                <w:szCs w:val="4"/>
                <w:color w:val="auto"/>
              </w:rPr>
            </w:pPr>
          </w:p>
        </w:tc>
        <w:tc>
          <w:tcPr>
            <w:tcW w:w="2020" w:type="dxa"/>
            <w:vAlign w:val="bottom"/>
            <w:tcBorders>
              <w:top w:val="single" w:sz="8" w:color="808080"/>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6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Borders>
              <w:top w:val="single" w:sz="8" w:color="2C2C2C"/>
            </w:tcBorders>
            <w:gridSpan w:val="2"/>
          </w:tcPr>
          <w:p>
            <w:pPr>
              <w:ind w:left="300"/>
              <w:spacing w:after="0" w:line="170" w:lineRule="exact"/>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160" w:type="dxa"/>
            <w:vAlign w:val="bottom"/>
            <w:vMerge w:val="restart"/>
          </w:tcPr>
          <w:p>
            <w:pPr>
              <w:jc w:val="center"/>
              <w:ind w:right="265"/>
              <w:spacing w:after="0"/>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
        </w:trPr>
        <w:tc>
          <w:tcPr>
            <w:tcW w:w="6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6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60" w:type="dxa"/>
            <w:vAlign w:val="bottom"/>
            <w:vMerge w:val="restart"/>
          </w:tcPr>
          <w:p>
            <w:pPr>
              <w:jc w:val="center"/>
              <w:ind w:right="24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90"/>
        </w:trPr>
        <w:tc>
          <w:tcPr>
            <w:tcW w:w="6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center"/>
        <w:ind w:right="2480"/>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ind w:right="2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-1734185</wp:posOffset>
            </wp:positionH>
            <wp:positionV relativeFrom="paragraph">
              <wp:posOffset>771525</wp:posOffset>
            </wp:positionV>
            <wp:extent cx="705612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6120" cy="4998085"/>
                    </a:xfrm>
                    <a:prstGeom prst="rect">
                      <a:avLst/>
                    </a:prstGeom>
                    <a:noFill/>
                  </pic:spPr>
                </pic:pic>
              </a:graphicData>
            </a:graphic>
          </wp:anchor>
        </w:drawing>
      </w:r>
    </w:p>
    <w:p>
      <w:pPr>
        <w:spacing w:after="0" w:line="1277" w:lineRule="exact"/>
        <w:rPr>
          <w:sz w:val="24"/>
          <w:szCs w:val="24"/>
          <w:color w:val="auto"/>
        </w:rPr>
      </w:pPr>
    </w:p>
    <w:p>
      <w:pPr>
        <w:sectPr>
          <w:pgSz w:w="11920" w:h="16838" w:orient="portrait"/>
          <w:cols w:equalWidth="0" w:num="2">
            <w:col w:w="2300" w:space="420"/>
            <w:col w:w="8300"/>
          </w:cols>
          <w:pgMar w:left="460" w:top="215" w:right="438"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40"/>
        <w:spacing w:after="0"/>
        <w:rPr>
          <w:rFonts w:ascii="Times New Roman" w:cs="Times New Roman" w:eastAsia="Times New Roman" w:hAnsi="Times New Roman"/>
          <w:sz w:val="22"/>
          <w:szCs w:val="22"/>
          <w:u w:val="single" w:color="auto"/>
          <w:color w:val="0000EE"/>
        </w:rPr>
      </w:pPr>
      <w:hyperlink r:id="rId13">
        <w:r>
          <w:rPr>
            <w:rFonts w:ascii="Times New Roman" w:cs="Times New Roman" w:eastAsia="Times New Roman" w:hAnsi="Times New Roman"/>
            <w:sz w:val="22"/>
            <w:szCs w:val="22"/>
            <w:u w:val="single" w:color="auto"/>
            <w:color w:val="0000EE"/>
          </w:rPr>
          <w:t>Clark William Anthony</w:t>
        </w:r>
      </w:hyperlink>
    </w:p>
    <w:p>
      <w:pPr>
        <w:spacing w:after="0" w:line="303" w:lineRule="exact"/>
        <w:rPr>
          <w:sz w:val="24"/>
          <w:szCs w:val="24"/>
          <w:color w:val="auto"/>
        </w:rPr>
      </w:pPr>
    </w:p>
    <w:p>
      <w:pPr>
        <w:ind w:left="14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508 W. WALL STREET, SUITE 800</w:t>
      </w:r>
    </w:p>
    <w:p>
      <w:pPr>
        <w:spacing w:after="0" w:line="346" w:lineRule="exact"/>
        <w:rPr>
          <w:sz w:val="24"/>
          <w:szCs w:val="24"/>
          <w:color w:val="auto"/>
        </w:rPr>
      </w:pPr>
    </w:p>
    <w:tbl>
      <w:tblPr>
        <w:tblLayout w:type="fixed"/>
        <w:tblInd w:w="80" w:type="dxa"/>
        <w:tblCellMar>
          <w:top w:w="0" w:type="dxa"/>
          <w:left w:w="0" w:type="dxa"/>
          <w:bottom w:w="0" w:type="dxa"/>
          <w:right w:w="0" w:type="dxa"/>
        </w:tblCellMar>
      </w:tblPr>
      <w:tr>
        <w:trPr>
          <w:trHeight w:val="181"/>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MIDLAND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TX</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79701</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13"/>
        </w:trPr>
        <w:tc>
          <w:tcPr>
            <w:tcW w:w="4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1020" w:type="dxa"/>
            <w:vAlign w:val="bottom"/>
          </w:tcPr>
          <w:p>
            <w:pPr>
              <w:ind w:left="200"/>
              <w:spacing w:after="0"/>
              <w:rPr>
                <w:sz w:val="20"/>
                <w:szCs w:val="20"/>
                <w:color w:val="auto"/>
              </w:rPr>
            </w:pPr>
            <w:r>
              <w:rPr>
                <w:rFonts w:ascii="Arial" w:cs="Arial" w:eastAsia="Arial" w:hAnsi="Arial"/>
                <w:sz w:val="14"/>
                <w:szCs w:val="14"/>
                <w:color w:val="auto"/>
              </w:rPr>
              <w:t>(State)</w:t>
            </w:r>
          </w:p>
        </w:tc>
        <w:tc>
          <w:tcPr>
            <w:tcW w:w="1580" w:type="dxa"/>
            <w:vAlign w:val="bottom"/>
          </w:tcPr>
          <w:p>
            <w:pPr>
              <w:ind w:left="4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3"/>
          </w:tcPr>
          <w:p>
            <w:pPr>
              <w:ind w:left="60"/>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780" w:type="dxa"/>
            <w:vAlign w:val="bottom"/>
            <w:gridSpan w:val="2"/>
          </w:tcPr>
          <w:p>
            <w:pPr>
              <w:spacing w:after="0" w:line="217" w:lineRule="exact"/>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color w:val="0000EE"/>
                </w:rPr>
                <w:t xml:space="preserve">DAWSON GEOPHYSICAL CO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DWSN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860" w:type="dxa"/>
            <w:vAlign w:val="bottom"/>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60" w:type="dxa"/>
            <w:vAlign w:val="bottom"/>
            <w:vMerge w:val="restart"/>
          </w:tcPr>
          <w:p>
            <w:pPr>
              <w:spacing w:after="0"/>
              <w:rPr>
                <w:sz w:val="12"/>
                <w:szCs w:val="12"/>
                <w:color w:val="auto"/>
              </w:rPr>
            </w:pPr>
          </w:p>
        </w:tc>
        <w:tc>
          <w:tcPr>
            <w:tcW w:w="2840" w:type="dxa"/>
            <w:vAlign w:val="bottom"/>
            <w:tcBorders>
              <w:top w:val="single" w:sz="8" w:color="0000EE"/>
            </w:tcBorders>
            <w:vMerge w:val="restart"/>
          </w:tcPr>
          <w:p>
            <w:pPr>
              <w:spacing w:after="0"/>
              <w:rPr>
                <w:sz w:val="20"/>
                <w:szCs w:val="20"/>
                <w:color w:val="auto"/>
              </w:rPr>
            </w:pPr>
            <w:r>
              <w:rPr>
                <w:rFonts w:ascii="Arial" w:cs="Arial" w:eastAsia="Arial" w:hAnsi="Arial"/>
                <w:sz w:val="14"/>
                <w:szCs w:val="14"/>
                <w:color w:val="auto"/>
              </w:rPr>
              <w:t>Foreign Trading Symbol</w:t>
            </w:r>
          </w:p>
        </w:tc>
        <w:tc>
          <w:tcPr>
            <w:tcW w:w="940" w:type="dxa"/>
            <w:vAlign w:val="bottom"/>
            <w:vMerge w:val="restart"/>
          </w:tcPr>
          <w:p>
            <w:pPr>
              <w:spacing w:after="0"/>
              <w:rPr>
                <w:sz w:val="12"/>
                <w:szCs w:val="12"/>
                <w:color w:val="auto"/>
              </w:rPr>
            </w:pPr>
          </w:p>
        </w:tc>
        <w:tc>
          <w:tcPr>
            <w:tcW w:w="1860" w:type="dxa"/>
            <w:vAlign w:val="bottom"/>
          </w:tcPr>
          <w:p>
            <w:pPr>
              <w:ind w:left="580"/>
              <w:spacing w:after="0" w:line="149" w:lineRule="exact"/>
              <w:rPr>
                <w:sz w:val="20"/>
                <w:szCs w:val="20"/>
                <w:color w:val="auto"/>
              </w:rPr>
            </w:pPr>
            <w:r>
              <w:rPr>
                <w:rFonts w:ascii="Arial" w:cs="Arial" w:eastAsia="Arial" w:hAnsi="Arial"/>
                <w:sz w:val="14"/>
                <w:szCs w:val="14"/>
                <w:color w:val="auto"/>
              </w:rPr>
              <w:t>Director</w:t>
            </w:r>
          </w:p>
        </w:tc>
        <w:tc>
          <w:tcPr>
            <w:tcW w:w="1420" w:type="dxa"/>
            <w:vAlign w:val="bottom"/>
          </w:tcPr>
          <w:p>
            <w:pPr>
              <w:ind w:left="280"/>
              <w:spacing w:after="0" w:line="149"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42"/>
        </w:trPr>
        <w:tc>
          <w:tcPr>
            <w:tcW w:w="60" w:type="dxa"/>
            <w:vAlign w:val="bottom"/>
            <w:vMerge w:val="continue"/>
          </w:tcPr>
          <w:p>
            <w:pPr>
              <w:spacing w:after="0"/>
              <w:rPr>
                <w:sz w:val="3"/>
                <w:szCs w:val="3"/>
                <w:color w:val="auto"/>
              </w:rPr>
            </w:pPr>
          </w:p>
        </w:tc>
        <w:tc>
          <w:tcPr>
            <w:tcW w:w="28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860" w:type="dxa"/>
            <w:vAlign w:val="bottom"/>
            <w:vMerge w:val="restart"/>
          </w:tcPr>
          <w:p>
            <w:pPr>
              <w:ind w:left="580"/>
              <w:spacing w:after="0" w:line="159" w:lineRule="exact"/>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line="15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6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860" w:type="dxa"/>
            <w:vAlign w:val="bottom"/>
            <w:vMerge w:val="restart"/>
          </w:tcPr>
          <w:p>
            <w:pPr>
              <w:ind w:left="58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3"/>
        </w:trPr>
        <w:tc>
          <w:tcPr>
            <w:tcW w:w="3840" w:type="dxa"/>
            <w:vAlign w:val="bottom"/>
            <w:gridSpan w:val="3"/>
            <w:vMerge w:val="restart"/>
          </w:tcPr>
          <w:p>
            <w:pPr>
              <w:ind w:left="60"/>
              <w:spacing w:after="0"/>
              <w:rPr>
                <w:sz w:val="20"/>
                <w:szCs w:val="20"/>
                <w:color w:val="auto"/>
              </w:rPr>
            </w:pPr>
            <w:r>
              <w:rPr>
                <w:rFonts w:ascii="Arial" w:cs="Arial" w:eastAsia="Arial" w:hAnsi="Arial"/>
                <w:sz w:val="14"/>
                <w:szCs w:val="14"/>
                <w:color w:val="auto"/>
              </w:rPr>
              <w:t>3. Date of Earliest Transaction (Month/Day/Year)</w:t>
            </w:r>
          </w:p>
        </w:tc>
        <w:tc>
          <w:tcPr>
            <w:tcW w:w="18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840" w:type="dxa"/>
            <w:vAlign w:val="bottom"/>
            <w:gridSpan w:val="3"/>
            <w:vMerge w:val="continue"/>
          </w:tcPr>
          <w:p>
            <w:pPr>
              <w:spacing w:after="0"/>
              <w:rPr>
                <w:sz w:val="9"/>
                <w:szCs w:val="9"/>
                <w:color w:val="auto"/>
              </w:rPr>
            </w:pPr>
          </w:p>
        </w:tc>
        <w:tc>
          <w:tcPr>
            <w:tcW w:w="328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0000FF"/>
              </w:rPr>
              <w:t>CEO &amp; President</w:t>
            </w:r>
          </w:p>
        </w:tc>
        <w:tc>
          <w:tcPr>
            <w:tcW w:w="0" w:type="dxa"/>
            <w:vAlign w:val="bottom"/>
          </w:tcPr>
          <w:p>
            <w:pPr>
              <w:spacing w:after="0"/>
              <w:rPr>
                <w:sz w:val="1"/>
                <w:szCs w:val="1"/>
                <w:color w:val="auto"/>
              </w:rPr>
            </w:pPr>
          </w:p>
        </w:tc>
      </w:tr>
      <w:tr>
        <w:trPr>
          <w:trHeight w:val="148"/>
        </w:trPr>
        <w:tc>
          <w:tcPr>
            <w:tcW w:w="2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10/27/2026</w:t>
            </w:r>
          </w:p>
        </w:tc>
        <w:tc>
          <w:tcPr>
            <w:tcW w:w="940" w:type="dxa"/>
            <w:vAlign w:val="bottom"/>
          </w:tcPr>
          <w:p>
            <w:pPr>
              <w:spacing w:after="0"/>
              <w:rPr>
                <w:sz w:val="12"/>
                <w:szCs w:val="12"/>
                <w:color w:val="auto"/>
              </w:rPr>
            </w:pPr>
          </w:p>
        </w:tc>
        <w:tc>
          <w:tcPr>
            <w:tcW w:w="3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9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6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328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gridSpan w:val="3"/>
          </w:tcPr>
          <w:p>
            <w:pPr>
              <w:ind w:left="60"/>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40"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One Reporting Person</w:t>
      </w:r>
    </w:p>
    <w:p>
      <w:pPr>
        <w:spacing w:after="0" w:line="69"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Person</w:t>
      </w:r>
    </w:p>
    <w:p>
      <w:pPr>
        <w:spacing w:after="0" w:line="292" w:lineRule="exact"/>
        <w:rPr>
          <w:sz w:val="24"/>
          <w:szCs w:val="24"/>
          <w:color w:val="auto"/>
        </w:rPr>
      </w:pPr>
    </w:p>
    <w:p>
      <w:pPr>
        <w:sectPr>
          <w:pgSz w:w="11920" w:h="16838" w:orient="portrait"/>
          <w:cols w:equalWidth="0" w:num="2">
            <w:col w:w="3760" w:space="100"/>
            <w:col w:w="7160"/>
          </w:cols>
          <w:pgMar w:left="460" w:top="215" w:right="438"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7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40" w:type="dxa"/>
            <w:vAlign w:val="bottom"/>
          </w:tcPr>
          <w:p>
            <w:pPr>
              <w:ind w:left="6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Ownership</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20" w:h="16838" w:orient="portrait"/>
          <w:cols w:equalWidth="0" w:num="1">
            <w:col w:w="11020"/>
          </w:cols>
          <w:pgMar w:left="460" w:top="215" w:right="438" w:bottom="1440" w:gutter="0" w:footer="0" w:header="0"/>
          <w:type w:val="continuous"/>
        </w:sectPr>
      </w:pPr>
    </w:p>
    <w:p>
      <w:pPr>
        <w:ind w:left="80" w:right="800" w:hanging="87"/>
        <w:spacing w:after="0"/>
        <w:rPr>
          <w:sz w:val="20"/>
          <w:szCs w:val="20"/>
          <w:color w:val="auto"/>
        </w:rPr>
      </w:pPr>
      <w:r>
        <w:rPr>
          <w:sz w:val="1"/>
          <w:szCs w:val="1"/>
          <w:color w:val="auto"/>
        </w:rPr>
        <w:drawing>
          <wp:inline distT="0" distB="0" distL="0" distR="0">
            <wp:extent cx="34290" cy="196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290"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 xml:space="preserve"> Dawson Geophysical Company-Common </w:t>
      </w:r>
      <w:r>
        <w:rPr>
          <w:sz w:val="1"/>
          <w:szCs w:val="1"/>
          <w:color w:val="auto"/>
        </w:rPr>
        <w:drawing>
          <wp:inline distT="0" distB="0" distL="0" distR="0">
            <wp:extent cx="42545" cy="196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96850"/>
                    </a:xfrm>
                    <a:prstGeom prst="rect">
                      <a:avLst/>
                    </a:prstGeom>
                    <a:noFill/>
                    <a:ln>
                      <a:noFill/>
                    </a:ln>
                  </pic:spPr>
                </pic:pic>
              </a:graphicData>
            </a:graphic>
          </wp:inline>
        </w:drawing>
      </w:r>
      <w:r>
        <w:rPr>
          <w:rFonts w:ascii="Times New Roman" w:cs="Times New Roman" w:eastAsia="Times New Roman" w:hAnsi="Times New Roman"/>
          <w:sz w:val="35"/>
          <w:szCs w:val="35"/>
          <w:color w:val="0000FF"/>
          <w:vertAlign w:val="subscript"/>
        </w:rPr>
        <w:t xml:space="preserve"> 10/27/2026 Stock $0.01 par value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tabs>
          <w:tab w:leader="none" w:pos="720" w:val="left"/>
          <w:tab w:leader="none" w:pos="1620" w:val="left"/>
          <w:tab w:leader="none" w:pos="2020" w:val="left"/>
          <w:tab w:leader="none" w:pos="2820" w:val="left"/>
          <w:tab w:leader="none" w:pos="4080" w:val="left"/>
        </w:tabs>
        <w:rPr>
          <w:sz w:val="20"/>
          <w:szCs w:val="20"/>
          <w:color w:val="auto"/>
        </w:rPr>
      </w:pPr>
      <w:r>
        <w:rPr>
          <w:rFonts w:ascii="Times New Roman" w:cs="Times New Roman" w:eastAsia="Times New Roman" w:hAnsi="Times New Roman"/>
          <w:sz w:val="14"/>
          <w:szCs w:val="14"/>
          <w:color w:val="0000FF"/>
        </w:rPr>
        <w:t>F</w:t>
      </w:r>
      <w:r>
        <w:rPr>
          <w:sz w:val="20"/>
          <w:szCs w:val="20"/>
          <w:color w:val="auto"/>
        </w:rPr>
        <w:tab/>
      </w:r>
      <w:r>
        <w:rPr>
          <w:rFonts w:ascii="Times New Roman" w:cs="Times New Roman" w:eastAsia="Times New Roman" w:hAnsi="Times New Roman"/>
          <w:sz w:val="18"/>
          <w:szCs w:val="18"/>
          <w:color w:val="0000FF"/>
        </w:rPr>
        <w:t>12,175</w:t>
      </w:r>
      <w:r>
        <w:rPr>
          <w:rFonts w:ascii="Times New Roman" w:cs="Times New Roman" w:eastAsia="Times New Roman" w:hAnsi="Times New Roman"/>
          <w:sz w:val="22"/>
          <w:szCs w:val="22"/>
          <w:color w:val="008000"/>
          <w:vertAlign w:val="superscript"/>
        </w:rPr>
        <w:t>(1)</w:t>
      </w:r>
      <w:r>
        <w:rPr>
          <w:sz w:val="20"/>
          <w:szCs w:val="20"/>
          <w:color w:val="auto"/>
        </w:rPr>
        <w:tab/>
      </w:r>
      <w:r>
        <w:rPr>
          <w:rFonts w:ascii="Times New Roman" w:cs="Times New Roman" w:eastAsia="Times New Roman" w:hAnsi="Times New Roman"/>
          <w:sz w:val="18"/>
          <w:szCs w:val="18"/>
          <w:color w:val="0000FF"/>
        </w:rPr>
        <w:t>D</w:t>
      </w:r>
      <w:r>
        <w:rPr>
          <w:sz w:val="20"/>
          <w:szCs w:val="20"/>
          <w:color w:val="auto"/>
        </w:rPr>
        <w:tab/>
      </w:r>
      <w:r>
        <w:rPr>
          <w:rFonts w:ascii="Arial" w:cs="Arial" w:eastAsia="Arial" w:hAnsi="Arial"/>
          <w:sz w:val="18"/>
          <w:szCs w:val="18"/>
          <w:color w:val="auto"/>
        </w:rPr>
        <w:t>$</w:t>
      </w:r>
      <w:r>
        <w:rPr>
          <w:rFonts w:ascii="Times New Roman" w:cs="Times New Roman" w:eastAsia="Times New Roman" w:hAnsi="Times New Roman"/>
          <w:sz w:val="18"/>
          <w:szCs w:val="18"/>
          <w:color w:val="0000FF"/>
        </w:rPr>
        <w:t>2.09</w:t>
      </w:r>
      <w:r>
        <w:rPr>
          <w:sz w:val="20"/>
          <w:szCs w:val="20"/>
          <w:color w:val="auto"/>
        </w:rPr>
        <w:tab/>
      </w:r>
      <w:r>
        <w:rPr>
          <w:rFonts w:ascii="Times New Roman" w:cs="Times New Roman" w:eastAsia="Times New Roman" w:hAnsi="Times New Roman"/>
          <w:sz w:val="18"/>
          <w:szCs w:val="18"/>
          <w:color w:val="0000FF"/>
        </w:rPr>
        <w:t>139,675</w:t>
      </w:r>
      <w:r>
        <w:rPr>
          <w:sz w:val="20"/>
          <w:szCs w:val="20"/>
          <w:color w:val="auto"/>
        </w:rPr>
        <w:tab/>
      </w:r>
      <w:r>
        <w:rPr>
          <w:rFonts w:ascii="Times New Roman" w:cs="Times New Roman" w:eastAsia="Times New Roman" w:hAnsi="Times New Roman"/>
          <w:sz w:val="15"/>
          <w:szCs w:val="15"/>
          <w:color w:val="0000FF"/>
        </w:rPr>
        <w:t>D</w:t>
      </w:r>
    </w:p>
    <w:p>
      <w:pPr>
        <w:spacing w:after="0" w:line="232" w:lineRule="exact"/>
        <w:rPr>
          <w:sz w:val="24"/>
          <w:szCs w:val="24"/>
          <w:color w:val="auto"/>
        </w:rPr>
      </w:pPr>
    </w:p>
    <w:p>
      <w:pPr>
        <w:sectPr>
          <w:pgSz w:w="11920" w:h="16838" w:orient="portrait"/>
          <w:cols w:equalWidth="0" w:num="2">
            <w:col w:w="4880" w:space="720"/>
            <w:col w:w="5420"/>
          </w:cols>
          <w:pgMar w:left="460" w:top="215" w:right="438"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8"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242" w:lineRule="auto"/>
        <w:tabs>
          <w:tab w:leader="none" w:pos="176"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the surrender of shares of Common Stock to satisfy tax withholding obligations in connection with the vesting of restricted stock issued to the Reporting person under the Amended and Restated Dawson Geophysical Company 2006 Stock and Performance Incentive Plan.</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William Anthony Clark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w w:val="95"/>
              </w:rPr>
              <w:t>10/29/2026</w:t>
            </w:r>
          </w:p>
        </w:tc>
      </w:tr>
      <w:tr>
        <w:trPr>
          <w:trHeight w:val="20"/>
        </w:trPr>
        <w:tc>
          <w:tcPr>
            <w:tcW w:w="1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9"/>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160" w:firstLine="9"/>
        <w:spacing w:after="0" w:line="351"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20" w:h="16838" w:orient="portrait"/>
      <w:cols w:equalWidth="0" w:num="1">
        <w:col w:w="11020"/>
      </w:cols>
      <w:pgMar w:left="460" w:top="215" w:right="43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81594" TargetMode="External"/><Relationship Id="rId14" Type="http://schemas.openxmlformats.org/officeDocument/2006/relationships/hyperlink" Target="http://www.sec.gov/cgi-bin/browse-edgar?action=getcompany&amp;CIK=0000799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2026-10-29T15:32:46Z</dcterms:created>
  <dcterms:modified xsi:type="dcterms:W3CDTF">2026-10-29T15:32:46Z</dcterms:modified>
</cp:coreProperties>
</file>