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and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TGC Industries,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872417308</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31, 2014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This Schedule is filed pursuant to Rule 13d-1(b)</w:t>
      </w:r>
    </w:p>
    <w:p>
      <w:pPr>
        <w:spacing w:after="0" w:line="225"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872417308</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960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96011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S.S. or I.R.S. Identification No. of Above Person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0720" w:type="dxa"/>
            <w:vAlign w:val="bottom"/>
            <w:gridSpan w:val="4"/>
          </w:tcPr>
          <w:p>
            <w:pPr>
              <w:ind w:left="120"/>
              <w:spacing w:after="0"/>
              <w:rPr>
                <w:sz w:val="20"/>
                <w:szCs w:val="20"/>
                <w:color w:val="auto"/>
              </w:rPr>
            </w:pPr>
            <w:r>
              <w:rPr>
                <w:rFonts w:ascii="Arial" w:cs="Arial" w:eastAsia="Arial" w:hAnsi="Arial"/>
                <w:sz w:val="22"/>
                <w:szCs w:val="22"/>
                <w:color w:val="auto"/>
              </w:rPr>
              <w:t>Ameriprise Financial, Inc.</w:t>
            </w:r>
          </w:p>
        </w:tc>
        <w:tc>
          <w:tcPr>
            <w:tcW w:w="0" w:type="dxa"/>
            <w:vAlign w:val="bottom"/>
          </w:tcPr>
          <w:p>
            <w:pPr>
              <w:spacing w:after="0"/>
              <w:rPr>
                <w:sz w:val="1"/>
                <w:szCs w:val="1"/>
                <w:color w:val="auto"/>
              </w:rPr>
            </w:pPr>
          </w:p>
        </w:tc>
      </w:tr>
      <w:tr>
        <w:trPr>
          <w:trHeight w:val="276"/>
        </w:trPr>
        <w:tc>
          <w:tcPr>
            <w:tcW w:w="72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IRS No. 13-3180631</w:t>
            </w:r>
          </w:p>
        </w:tc>
        <w:tc>
          <w:tcPr>
            <w:tcW w:w="0" w:type="dxa"/>
            <w:vAlign w:val="bottom"/>
          </w:tcPr>
          <w:p>
            <w:pPr>
              <w:spacing w:after="0"/>
              <w:rPr>
                <w:sz w:val="1"/>
                <w:szCs w:val="1"/>
                <w:color w:val="auto"/>
              </w:rPr>
            </w:pPr>
          </w:p>
        </w:tc>
      </w:tr>
      <w:tr>
        <w:trPr>
          <w:trHeight w:val="164"/>
        </w:trPr>
        <w:tc>
          <w:tcPr>
            <w:tcW w:w="7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720" w:type="dxa"/>
            <w:vAlign w:val="bottom"/>
            <w:gridSpan w:val="4"/>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9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Pr>
          <w:p>
            <w:pPr>
              <w:spacing w:after="0"/>
              <w:rPr>
                <w:sz w:val="24"/>
                <w:szCs w:val="24"/>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w w:val="97"/>
              </w:rPr>
              <w:t>*    This filing describes the reporting person’s relationship with other persons, but the reporting person does not affirm the existence of a</w:t>
            </w: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group.</w:t>
            </w:r>
          </w:p>
        </w:tc>
        <w:tc>
          <w:tcPr>
            <w:tcW w:w="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w w:val="91"/>
              </w:rPr>
              <w:t>SEC Use Only</w:t>
            </w:r>
          </w:p>
        </w:tc>
        <w:tc>
          <w:tcPr>
            <w:tcW w:w="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2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Delaware</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94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2"/>
            <w:vMerge w:val="continue"/>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1"/>
              </w:rPr>
              <w:t>SHARES</w:t>
            </w:r>
          </w:p>
        </w:tc>
        <w:tc>
          <w:tcPr>
            <w:tcW w:w="3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40" w:type="dxa"/>
            <w:vAlign w:val="bottom"/>
            <w:tcBorders>
              <w:right w:val="single" w:sz="8" w:color="auto"/>
            </w:tcBorders>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22"/>
                <w:szCs w:val="22"/>
                <w:color w:val="auto"/>
              </w:rPr>
              <w:t>2,117,461</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40" w:type="dxa"/>
            <w:vAlign w:val="bottom"/>
            <w:tcBorders>
              <w:right w:val="single" w:sz="8" w:color="auto"/>
            </w:tcBorders>
            <w:gridSpan w:val="2"/>
          </w:tcPr>
          <w:p>
            <w:pPr>
              <w:jc w:val="center"/>
              <w:ind w:left="50"/>
              <w:spacing w:after="0" w:line="182" w:lineRule="exact"/>
              <w:rPr>
                <w:sz w:val="20"/>
                <w:szCs w:val="20"/>
                <w:color w:val="auto"/>
              </w:rPr>
            </w:pPr>
            <w:r>
              <w:rPr>
                <w:rFonts w:ascii="Arial" w:cs="Arial" w:eastAsia="Arial" w:hAnsi="Arial"/>
                <w:sz w:val="18"/>
                <w:szCs w:val="18"/>
                <w:color w:val="auto"/>
                <w:w w:val="95"/>
              </w:rPr>
              <w:t>EACH</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460" w:type="dxa"/>
            <w:vAlign w:val="bottom"/>
          </w:tcPr>
          <w:p>
            <w:pPr>
              <w:ind w:left="1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540" w:type="dxa"/>
            <w:vAlign w:val="bottom"/>
            <w:tcBorders>
              <w:right w:val="single" w:sz="8" w:color="auto"/>
            </w:tcBorders>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2,118,098</w:t>
            </w: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2,118,098</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9.63%</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HC</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872417308</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960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96011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S.S. or I.R.S. Identification No. of Above Person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0720" w:type="dxa"/>
            <w:vAlign w:val="bottom"/>
            <w:gridSpan w:val="4"/>
          </w:tcPr>
          <w:p>
            <w:pPr>
              <w:ind w:left="120"/>
              <w:spacing w:after="0"/>
              <w:rPr>
                <w:sz w:val="20"/>
                <w:szCs w:val="20"/>
                <w:color w:val="auto"/>
              </w:rPr>
            </w:pPr>
            <w:r>
              <w:rPr>
                <w:rFonts w:ascii="Arial" w:cs="Arial" w:eastAsia="Arial" w:hAnsi="Arial"/>
                <w:sz w:val="22"/>
                <w:szCs w:val="22"/>
                <w:color w:val="auto"/>
              </w:rPr>
              <w:t>Columbia Management Investment Advisers, LLC</w:t>
            </w:r>
          </w:p>
        </w:tc>
        <w:tc>
          <w:tcPr>
            <w:tcW w:w="0" w:type="dxa"/>
            <w:vAlign w:val="bottom"/>
          </w:tcPr>
          <w:p>
            <w:pPr>
              <w:spacing w:after="0"/>
              <w:rPr>
                <w:sz w:val="1"/>
                <w:szCs w:val="1"/>
                <w:color w:val="auto"/>
              </w:rPr>
            </w:pPr>
          </w:p>
        </w:tc>
      </w:tr>
      <w:tr>
        <w:trPr>
          <w:trHeight w:val="276"/>
        </w:trPr>
        <w:tc>
          <w:tcPr>
            <w:tcW w:w="72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IRS No. 41-1533211</w:t>
            </w:r>
          </w:p>
        </w:tc>
        <w:tc>
          <w:tcPr>
            <w:tcW w:w="0" w:type="dxa"/>
            <w:vAlign w:val="bottom"/>
          </w:tcPr>
          <w:p>
            <w:pPr>
              <w:spacing w:after="0"/>
              <w:rPr>
                <w:sz w:val="1"/>
                <w:szCs w:val="1"/>
                <w:color w:val="auto"/>
              </w:rPr>
            </w:pPr>
          </w:p>
        </w:tc>
      </w:tr>
      <w:tr>
        <w:trPr>
          <w:trHeight w:val="164"/>
        </w:trPr>
        <w:tc>
          <w:tcPr>
            <w:tcW w:w="7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720" w:type="dxa"/>
            <w:vAlign w:val="bottom"/>
            <w:gridSpan w:val="4"/>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9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Pr>
          <w:p>
            <w:pPr>
              <w:spacing w:after="0"/>
              <w:rPr>
                <w:sz w:val="24"/>
                <w:szCs w:val="24"/>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w w:val="97"/>
              </w:rPr>
              <w:t>*    This filing describes the reporting person’s relationship with other persons, but the reporting person does not affirm the existence of a</w:t>
            </w: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group.</w:t>
            </w:r>
          </w:p>
        </w:tc>
        <w:tc>
          <w:tcPr>
            <w:tcW w:w="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w w:val="91"/>
              </w:rPr>
              <w:t>SEC Use Only</w:t>
            </w:r>
          </w:p>
        </w:tc>
        <w:tc>
          <w:tcPr>
            <w:tcW w:w="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2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Minnesota</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94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2"/>
            <w:vMerge w:val="continue"/>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1"/>
              </w:rPr>
              <w:t>SHARES</w:t>
            </w:r>
          </w:p>
        </w:tc>
        <w:tc>
          <w:tcPr>
            <w:tcW w:w="3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40" w:type="dxa"/>
            <w:vAlign w:val="bottom"/>
            <w:tcBorders>
              <w:right w:val="single" w:sz="8" w:color="auto"/>
            </w:tcBorders>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22"/>
                <w:szCs w:val="22"/>
                <w:color w:val="auto"/>
              </w:rPr>
              <w:t>2,117,461</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40" w:type="dxa"/>
            <w:vAlign w:val="bottom"/>
            <w:tcBorders>
              <w:right w:val="single" w:sz="8" w:color="auto"/>
            </w:tcBorders>
            <w:gridSpan w:val="2"/>
          </w:tcPr>
          <w:p>
            <w:pPr>
              <w:jc w:val="center"/>
              <w:ind w:left="50"/>
              <w:spacing w:after="0" w:line="182" w:lineRule="exact"/>
              <w:rPr>
                <w:sz w:val="20"/>
                <w:szCs w:val="20"/>
                <w:color w:val="auto"/>
              </w:rPr>
            </w:pPr>
            <w:r>
              <w:rPr>
                <w:rFonts w:ascii="Arial" w:cs="Arial" w:eastAsia="Arial" w:hAnsi="Arial"/>
                <w:sz w:val="18"/>
                <w:szCs w:val="18"/>
                <w:color w:val="auto"/>
                <w:w w:val="95"/>
              </w:rPr>
              <w:t>EACH</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460" w:type="dxa"/>
            <w:vAlign w:val="bottom"/>
          </w:tcPr>
          <w:p>
            <w:pPr>
              <w:ind w:left="1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540" w:type="dxa"/>
            <w:vAlign w:val="bottom"/>
            <w:tcBorders>
              <w:right w:val="single" w:sz="8" w:color="auto"/>
            </w:tcBorders>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2,118,098</w:t>
            </w: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2,118,098</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9.63%</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IA</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u w:val="single" w:color="auto"/>
          <w:color w:val="auto"/>
        </w:rPr>
        <w:t>872417308</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  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5960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960110"/>
                    </a:xfrm>
                    <a:prstGeom prst="rect">
                      <a:avLst/>
                    </a:prstGeom>
                    <a:noFill/>
                  </pic:spPr>
                </pic:pic>
              </a:graphicData>
            </a:graphic>
          </wp:anchor>
        </w:drawing>
      </w:r>
    </w:p>
    <w:p>
      <w:pPr>
        <w:spacing w:after="0" w:line="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S.S. or I.R.S. Identification No. of Above Person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0" w:type="dxa"/>
            <w:vAlign w:val="bottom"/>
          </w:tcPr>
          <w:p>
            <w:pPr>
              <w:spacing w:after="0"/>
              <w:rPr>
                <w:sz w:val="21"/>
                <w:szCs w:val="21"/>
                <w:color w:val="auto"/>
              </w:rPr>
            </w:pPr>
          </w:p>
        </w:tc>
        <w:tc>
          <w:tcPr>
            <w:tcW w:w="10720" w:type="dxa"/>
            <w:vAlign w:val="bottom"/>
            <w:gridSpan w:val="4"/>
          </w:tcPr>
          <w:p>
            <w:pPr>
              <w:ind w:left="120"/>
              <w:spacing w:after="0"/>
              <w:rPr>
                <w:sz w:val="20"/>
                <w:szCs w:val="20"/>
                <w:color w:val="auto"/>
              </w:rPr>
            </w:pPr>
            <w:r>
              <w:rPr>
                <w:rFonts w:ascii="Arial" w:cs="Arial" w:eastAsia="Arial" w:hAnsi="Arial"/>
                <w:sz w:val="22"/>
                <w:szCs w:val="22"/>
                <w:color w:val="auto"/>
              </w:rPr>
              <w:t>Columbia Small Cap Value Fund I</w:t>
            </w:r>
          </w:p>
        </w:tc>
        <w:tc>
          <w:tcPr>
            <w:tcW w:w="0" w:type="dxa"/>
            <w:vAlign w:val="bottom"/>
          </w:tcPr>
          <w:p>
            <w:pPr>
              <w:spacing w:after="0"/>
              <w:rPr>
                <w:sz w:val="1"/>
                <w:szCs w:val="1"/>
                <w:color w:val="auto"/>
              </w:rPr>
            </w:pPr>
          </w:p>
        </w:tc>
      </w:tr>
      <w:tr>
        <w:trPr>
          <w:trHeight w:val="276"/>
        </w:trPr>
        <w:tc>
          <w:tcPr>
            <w:tcW w:w="72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IRS No. 04-6550896</w:t>
            </w:r>
          </w:p>
        </w:tc>
        <w:tc>
          <w:tcPr>
            <w:tcW w:w="0" w:type="dxa"/>
            <w:vAlign w:val="bottom"/>
          </w:tcPr>
          <w:p>
            <w:pPr>
              <w:spacing w:after="0"/>
              <w:rPr>
                <w:sz w:val="1"/>
                <w:szCs w:val="1"/>
                <w:color w:val="auto"/>
              </w:rPr>
            </w:pPr>
          </w:p>
        </w:tc>
      </w:tr>
      <w:tr>
        <w:trPr>
          <w:trHeight w:val="164"/>
        </w:trPr>
        <w:tc>
          <w:tcPr>
            <w:tcW w:w="72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10720" w:type="dxa"/>
            <w:vAlign w:val="bottom"/>
            <w:gridSpan w:val="4"/>
          </w:tcPr>
          <w:p>
            <w:pPr>
              <w:ind w:left="12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72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(b)</w:t>
            </w:r>
          </w:p>
        </w:tc>
        <w:tc>
          <w:tcPr>
            <w:tcW w:w="9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5"/>
        </w:trPr>
        <w:tc>
          <w:tcPr>
            <w:tcW w:w="720" w:type="dxa"/>
            <w:vAlign w:val="bottom"/>
          </w:tcPr>
          <w:p>
            <w:pPr>
              <w:spacing w:after="0"/>
              <w:rPr>
                <w:sz w:val="24"/>
                <w:szCs w:val="24"/>
                <w:color w:val="auto"/>
              </w:rPr>
            </w:pP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w w:val="97"/>
              </w:rPr>
              <w:t>*    This filing describes the reporting person’s relationship with other persons, but the reporting person does not affirm the existence of a</w:t>
            </w: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ind w:left="480"/>
              <w:spacing w:after="0"/>
              <w:rPr>
                <w:sz w:val="20"/>
                <w:szCs w:val="20"/>
                <w:color w:val="auto"/>
              </w:rPr>
            </w:pPr>
            <w:r>
              <w:rPr>
                <w:rFonts w:ascii="Arial" w:cs="Arial" w:eastAsia="Arial" w:hAnsi="Arial"/>
                <w:sz w:val="18"/>
                <w:szCs w:val="18"/>
                <w:color w:val="auto"/>
              </w:rPr>
              <w:t>group.</w:t>
            </w:r>
          </w:p>
        </w:tc>
        <w:tc>
          <w:tcPr>
            <w:tcW w:w="60" w:type="dxa"/>
            <w:vAlign w:val="bottom"/>
            <w:tcBorders>
              <w:bottom w:val="single" w:sz="8" w:color="auto"/>
            </w:tcBorders>
          </w:tcPr>
          <w:p>
            <w:pPr>
              <w:spacing w:after="0"/>
              <w:rPr>
                <w:sz w:val="20"/>
                <w:szCs w:val="20"/>
                <w:color w:val="auto"/>
              </w:rPr>
            </w:pPr>
          </w:p>
        </w:tc>
        <w:tc>
          <w:tcPr>
            <w:tcW w:w="9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tcPr>
          <w:p>
            <w:pPr>
              <w:ind w:left="120"/>
              <w:spacing w:after="0"/>
              <w:rPr>
                <w:sz w:val="20"/>
                <w:szCs w:val="20"/>
                <w:color w:val="auto"/>
              </w:rPr>
            </w:pPr>
            <w:r>
              <w:rPr>
                <w:rFonts w:ascii="Arial" w:cs="Arial" w:eastAsia="Arial" w:hAnsi="Arial"/>
                <w:sz w:val="18"/>
                <w:szCs w:val="18"/>
                <w:color w:val="auto"/>
                <w:w w:val="91"/>
              </w:rPr>
              <w:t>SEC Use Only</w:t>
            </w:r>
          </w:p>
        </w:tc>
        <w:tc>
          <w:tcPr>
            <w:tcW w:w="60" w:type="dxa"/>
            <w:vAlign w:val="bottom"/>
          </w:tcPr>
          <w:p>
            <w:pPr>
              <w:spacing w:after="0"/>
              <w:rPr>
                <w:sz w:val="20"/>
                <w:szCs w:val="20"/>
                <w:color w:val="auto"/>
              </w:rPr>
            </w:pPr>
          </w:p>
        </w:tc>
        <w:tc>
          <w:tcPr>
            <w:tcW w:w="9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20" w:type="dxa"/>
            <w:vAlign w:val="bottom"/>
            <w:tcBorders>
              <w:bottom w:val="single" w:sz="8" w:color="auto"/>
            </w:tcBorders>
          </w:tcPr>
          <w:p>
            <w:pPr>
              <w:spacing w:after="0"/>
              <w:rPr>
                <w:sz w:val="21"/>
                <w:szCs w:val="21"/>
                <w:color w:val="auto"/>
              </w:rPr>
            </w:pPr>
          </w:p>
        </w:tc>
        <w:tc>
          <w:tcPr>
            <w:tcW w:w="1072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226"/>
        </w:trPr>
        <w:tc>
          <w:tcPr>
            <w:tcW w:w="72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19"/>
                <w:szCs w:val="19"/>
                <w:color w:val="auto"/>
              </w:rPr>
            </w:pPr>
          </w:p>
        </w:tc>
        <w:tc>
          <w:tcPr>
            <w:tcW w:w="946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6"/>
              </w:rPr>
              <w:t>NUMBER OF</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1,411,886</w:t>
            </w:r>
          </w:p>
        </w:tc>
        <w:tc>
          <w:tcPr>
            <w:tcW w:w="0" w:type="dxa"/>
            <w:vAlign w:val="bottom"/>
          </w:tcPr>
          <w:p>
            <w:pPr>
              <w:spacing w:after="0"/>
              <w:rPr>
                <w:sz w:val="1"/>
                <w:szCs w:val="1"/>
                <w:color w:val="auto"/>
              </w:rPr>
            </w:pPr>
          </w:p>
        </w:tc>
      </w:tr>
      <w:tr>
        <w:trPr>
          <w:trHeight w:val="48"/>
        </w:trPr>
        <w:tc>
          <w:tcPr>
            <w:tcW w:w="1540" w:type="dxa"/>
            <w:vAlign w:val="bottom"/>
            <w:tcBorders>
              <w:right w:val="single" w:sz="8" w:color="auto"/>
            </w:tcBorders>
            <w:gridSpan w:val="2"/>
            <w:vMerge w:val="continue"/>
          </w:tcPr>
          <w:p>
            <w:pPr>
              <w:spacing w:after="0"/>
              <w:rPr>
                <w:sz w:val="4"/>
                <w:szCs w:val="4"/>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4"/>
                <w:szCs w:val="4"/>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w w:val="91"/>
              </w:rPr>
              <w:t>SHARES</w:t>
            </w:r>
          </w:p>
        </w:tc>
        <w:tc>
          <w:tcPr>
            <w:tcW w:w="380" w:type="dxa"/>
            <w:vAlign w:val="bottom"/>
            <w:vMerge w:val="continue"/>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9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540" w:type="dxa"/>
            <w:vAlign w:val="bottom"/>
            <w:tcBorders>
              <w:right w:val="single" w:sz="8" w:color="auto"/>
            </w:tcBorders>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Borders>
              <w:right w:val="single" w:sz="8" w:color="auto"/>
            </w:tcBorders>
          </w:tcPr>
          <w:p>
            <w:pPr>
              <w:spacing w:after="0"/>
              <w:rPr>
                <w:sz w:val="3"/>
                <w:szCs w:val="3"/>
                <w:color w:val="auto"/>
              </w:rPr>
            </w:pPr>
          </w:p>
        </w:tc>
        <w:tc>
          <w:tcPr>
            <w:tcW w:w="9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60" w:type="dxa"/>
            <w:vAlign w:val="bottom"/>
            <w:vMerge w:val="restart"/>
          </w:tcPr>
          <w:p>
            <w:pPr>
              <w:ind w:left="1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30"/>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7"/>
              </w:rPr>
              <w:t>OWNED BY</w:t>
            </w:r>
          </w:p>
        </w:tc>
        <w:tc>
          <w:tcPr>
            <w:tcW w:w="3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4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540" w:type="dxa"/>
            <w:vAlign w:val="bottom"/>
            <w:tcBorders>
              <w:right w:val="single" w:sz="8" w:color="auto"/>
            </w:tcBorders>
            <w:gridSpan w:val="2"/>
          </w:tcPr>
          <w:p>
            <w:pPr>
              <w:jc w:val="center"/>
              <w:ind w:left="50"/>
              <w:spacing w:after="0" w:line="182" w:lineRule="exact"/>
              <w:rPr>
                <w:sz w:val="20"/>
                <w:szCs w:val="20"/>
                <w:color w:val="auto"/>
              </w:rPr>
            </w:pPr>
            <w:r>
              <w:rPr>
                <w:rFonts w:ascii="Arial" w:cs="Arial" w:eastAsia="Arial" w:hAnsi="Arial"/>
                <w:sz w:val="18"/>
                <w:szCs w:val="18"/>
                <w:color w:val="auto"/>
                <w:w w:val="95"/>
              </w:rPr>
              <w:t>EACH</w:t>
            </w:r>
          </w:p>
        </w:tc>
        <w:tc>
          <w:tcPr>
            <w:tcW w:w="3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46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3"/>
              </w:rPr>
              <w:t>REPORTING</w:t>
            </w:r>
          </w:p>
        </w:tc>
        <w:tc>
          <w:tcPr>
            <w:tcW w:w="38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5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9"/>
              </w:rPr>
              <w:t>PERSON</w:t>
            </w:r>
          </w:p>
        </w:tc>
        <w:tc>
          <w:tcPr>
            <w:tcW w:w="3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9460" w:type="dxa"/>
            <w:vAlign w:val="bottom"/>
          </w:tcPr>
          <w:p>
            <w:pPr>
              <w:ind w:left="18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1540" w:type="dxa"/>
            <w:vAlign w:val="bottom"/>
            <w:tcBorders>
              <w:right w:val="single" w:sz="8" w:color="auto"/>
            </w:tcBorders>
            <w:gridSpan w:val="2"/>
            <w:vMerge w:val="restart"/>
          </w:tcPr>
          <w:p>
            <w:pPr>
              <w:jc w:val="center"/>
              <w:ind w:left="50"/>
              <w:spacing w:after="0"/>
              <w:rPr>
                <w:sz w:val="20"/>
                <w:szCs w:val="20"/>
                <w:color w:val="auto"/>
              </w:rPr>
            </w:pPr>
            <w:r>
              <w:rPr>
                <w:rFonts w:ascii="Arial" w:cs="Arial" w:eastAsia="Arial" w:hAnsi="Arial"/>
                <w:sz w:val="18"/>
                <w:szCs w:val="18"/>
                <w:color w:val="auto"/>
              </w:rPr>
              <w:t>WITH</w:t>
            </w: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9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1540" w:type="dxa"/>
            <w:vAlign w:val="bottom"/>
            <w:tcBorders>
              <w:right w:val="single" w:sz="8" w:color="auto"/>
            </w:tcBorders>
            <w:gridSpan w:val="2"/>
            <w:vMerge w:val="continue"/>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946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72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4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1,411,886</w:t>
            </w: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22"/>
                <w:szCs w:val="22"/>
                <w:color w:val="auto"/>
              </w:rPr>
              <w:t>1,411,886</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6.42%</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720" w:type="dxa"/>
            <w:vAlign w:val="bottom"/>
            <w:gridSpan w:val="4"/>
          </w:tcPr>
          <w:p>
            <w:pPr>
              <w:ind w:left="12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72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22"/>
                <w:szCs w:val="22"/>
                <w:color w:val="auto"/>
              </w:rPr>
              <w:t>IV</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1(a)</w:t>
            </w:r>
          </w:p>
        </w:tc>
        <w:tc>
          <w:tcPr>
            <w:tcW w:w="4040" w:type="dxa"/>
            <w:vAlign w:val="bottom"/>
          </w:tcPr>
          <w:p>
            <w:pPr>
              <w:ind w:left="200"/>
              <w:spacing w:after="0"/>
              <w:rPr>
                <w:sz w:val="20"/>
                <w:szCs w:val="20"/>
                <w:color w:val="auto"/>
              </w:rPr>
            </w:pPr>
            <w:r>
              <w:rPr>
                <w:rFonts w:ascii="Arial" w:cs="Arial" w:eastAsia="Arial" w:hAnsi="Arial"/>
                <w:sz w:val="18"/>
                <w:szCs w:val="18"/>
                <w:color w:val="auto"/>
              </w:rPr>
              <w:t>Name of Issuer:</w:t>
            </w:r>
          </w:p>
        </w:tc>
        <w:tc>
          <w:tcPr>
            <w:tcW w:w="5080" w:type="dxa"/>
            <w:vAlign w:val="bottom"/>
          </w:tcPr>
          <w:p>
            <w:pPr>
              <w:ind w:left="380"/>
              <w:spacing w:after="0"/>
              <w:rPr>
                <w:sz w:val="20"/>
                <w:szCs w:val="20"/>
                <w:color w:val="auto"/>
              </w:rPr>
            </w:pPr>
            <w:r>
              <w:rPr>
                <w:rFonts w:ascii="Arial" w:cs="Arial" w:eastAsia="Arial" w:hAnsi="Arial"/>
                <w:sz w:val="18"/>
                <w:szCs w:val="18"/>
                <w:color w:val="auto"/>
              </w:rPr>
              <w:t>TGC Industries, Inc.</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1(b)</w:t>
            </w:r>
          </w:p>
        </w:tc>
        <w:tc>
          <w:tcPr>
            <w:tcW w:w="4040" w:type="dxa"/>
            <w:vAlign w:val="bottom"/>
          </w:tcPr>
          <w:p>
            <w:pPr>
              <w:ind w:left="200"/>
              <w:spacing w:after="0"/>
              <w:rPr>
                <w:sz w:val="20"/>
                <w:szCs w:val="20"/>
                <w:color w:val="auto"/>
              </w:rPr>
            </w:pPr>
            <w:r>
              <w:rPr>
                <w:rFonts w:ascii="Arial" w:cs="Arial" w:eastAsia="Arial" w:hAnsi="Arial"/>
                <w:sz w:val="18"/>
                <w:szCs w:val="18"/>
                <w:color w:val="auto"/>
              </w:rPr>
              <w:t>Address of Issuer’s Principal Executive Offices:</w:t>
            </w:r>
          </w:p>
        </w:tc>
        <w:tc>
          <w:tcPr>
            <w:tcW w:w="5080" w:type="dxa"/>
            <w:vAlign w:val="bottom"/>
          </w:tcPr>
          <w:p>
            <w:pPr>
              <w:ind w:left="380"/>
              <w:spacing w:after="0"/>
              <w:rPr>
                <w:sz w:val="20"/>
                <w:szCs w:val="20"/>
                <w:color w:val="auto"/>
              </w:rPr>
            </w:pPr>
            <w:r>
              <w:rPr>
                <w:rFonts w:ascii="Arial" w:cs="Arial" w:eastAsia="Arial" w:hAnsi="Arial"/>
                <w:sz w:val="18"/>
                <w:szCs w:val="18"/>
                <w:color w:val="auto"/>
              </w:rPr>
              <w:t>101 E. Park Blvd., Suite 955</w:t>
            </w:r>
          </w:p>
        </w:tc>
      </w:tr>
      <w:tr>
        <w:trPr>
          <w:trHeight w:val="230"/>
        </w:trPr>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Plano, TX 75074</w:t>
            </w:r>
          </w:p>
        </w:tc>
      </w:tr>
      <w:tr>
        <w:trPr>
          <w:trHeight w:val="431"/>
        </w:trPr>
        <w:tc>
          <w:tcPr>
            <w:tcW w:w="500" w:type="dxa"/>
            <w:vAlign w:val="bottom"/>
          </w:tcPr>
          <w:p>
            <w:pPr>
              <w:spacing w:after="0"/>
              <w:rPr>
                <w:sz w:val="20"/>
                <w:szCs w:val="20"/>
                <w:color w:val="auto"/>
              </w:rPr>
            </w:pPr>
            <w:r>
              <w:rPr>
                <w:rFonts w:ascii="Arial" w:cs="Arial" w:eastAsia="Arial" w:hAnsi="Arial"/>
                <w:sz w:val="18"/>
                <w:szCs w:val="18"/>
                <w:color w:val="auto"/>
              </w:rPr>
              <w:t>2(a)</w:t>
            </w:r>
          </w:p>
        </w:tc>
        <w:tc>
          <w:tcPr>
            <w:tcW w:w="4040" w:type="dxa"/>
            <w:vAlign w:val="bottom"/>
          </w:tcPr>
          <w:p>
            <w:pPr>
              <w:ind w:left="200"/>
              <w:spacing w:after="0"/>
              <w:rPr>
                <w:sz w:val="20"/>
                <w:szCs w:val="20"/>
                <w:color w:val="auto"/>
              </w:rPr>
            </w:pPr>
            <w:r>
              <w:rPr>
                <w:rFonts w:ascii="Arial" w:cs="Arial" w:eastAsia="Arial" w:hAnsi="Arial"/>
                <w:sz w:val="18"/>
                <w:szCs w:val="18"/>
                <w:color w:val="auto"/>
              </w:rPr>
              <w:t>Name of Person Filing:</w:t>
            </w:r>
          </w:p>
        </w:tc>
        <w:tc>
          <w:tcPr>
            <w:tcW w:w="5080" w:type="dxa"/>
            <w:vAlign w:val="bottom"/>
          </w:tcPr>
          <w:p>
            <w:pPr>
              <w:ind w:left="380"/>
              <w:spacing w:after="0"/>
              <w:rPr>
                <w:sz w:val="20"/>
                <w:szCs w:val="20"/>
                <w:color w:val="auto"/>
              </w:rPr>
            </w:pPr>
            <w:r>
              <w:rPr>
                <w:rFonts w:ascii="Arial" w:cs="Arial" w:eastAsia="Arial" w:hAnsi="Arial"/>
                <w:sz w:val="18"/>
                <w:szCs w:val="18"/>
                <w:color w:val="auto"/>
              </w:rPr>
              <w:t>(a) Ameriprise Financial, Inc. (“AFI”)</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w w:val="94"/>
              </w:rPr>
              <w:t>(b) Columbia Management Investment Advisers, LLC (“CMIA”)</w:t>
            </w:r>
          </w:p>
        </w:tc>
      </w:tr>
      <w:tr>
        <w:trPr>
          <w:trHeight w:val="230"/>
        </w:trPr>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(c) Columbia Small Cap Value Fund I (“Fund”)</w:t>
            </w:r>
          </w:p>
        </w:tc>
      </w:tr>
      <w:tr>
        <w:trPr>
          <w:trHeight w:val="431"/>
        </w:trPr>
        <w:tc>
          <w:tcPr>
            <w:tcW w:w="500" w:type="dxa"/>
            <w:vAlign w:val="bottom"/>
          </w:tcPr>
          <w:p>
            <w:pPr>
              <w:spacing w:after="0"/>
              <w:rPr>
                <w:sz w:val="20"/>
                <w:szCs w:val="20"/>
                <w:color w:val="auto"/>
              </w:rPr>
            </w:pPr>
            <w:r>
              <w:rPr>
                <w:rFonts w:ascii="Arial" w:cs="Arial" w:eastAsia="Arial" w:hAnsi="Arial"/>
                <w:sz w:val="18"/>
                <w:szCs w:val="18"/>
                <w:color w:val="auto"/>
              </w:rPr>
              <w:t>2(b)</w:t>
            </w:r>
          </w:p>
        </w:tc>
        <w:tc>
          <w:tcPr>
            <w:tcW w:w="4040" w:type="dxa"/>
            <w:vAlign w:val="bottom"/>
          </w:tcPr>
          <w:p>
            <w:pPr>
              <w:ind w:left="200"/>
              <w:spacing w:after="0"/>
              <w:rPr>
                <w:sz w:val="20"/>
                <w:szCs w:val="20"/>
                <w:color w:val="auto"/>
              </w:rPr>
            </w:pPr>
            <w:r>
              <w:rPr>
                <w:rFonts w:ascii="Arial" w:cs="Arial" w:eastAsia="Arial" w:hAnsi="Arial"/>
                <w:sz w:val="18"/>
                <w:szCs w:val="18"/>
                <w:color w:val="auto"/>
              </w:rPr>
              <w:t>Address of Principal Business Office:</w:t>
            </w:r>
          </w:p>
        </w:tc>
        <w:tc>
          <w:tcPr>
            <w:tcW w:w="5080" w:type="dxa"/>
            <w:vAlign w:val="bottom"/>
          </w:tcPr>
          <w:p>
            <w:pPr>
              <w:ind w:left="380"/>
              <w:spacing w:after="0"/>
              <w:rPr>
                <w:sz w:val="20"/>
                <w:szCs w:val="20"/>
                <w:color w:val="auto"/>
              </w:rPr>
            </w:pPr>
            <w:r>
              <w:rPr>
                <w:rFonts w:ascii="Arial" w:cs="Arial" w:eastAsia="Arial" w:hAnsi="Arial"/>
                <w:sz w:val="18"/>
                <w:szCs w:val="18"/>
                <w:color w:val="auto"/>
              </w:rPr>
              <w:t>(a) Ameriprise Financial, Inc.</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145 Ameriprise Financial Center</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Minneapolis, MN 55474</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(b) 225 Franklin St.</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Boston, MA 02110</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(c) 225 Franklin St.</w:t>
            </w:r>
          </w:p>
        </w:tc>
      </w:tr>
      <w:tr>
        <w:trPr>
          <w:trHeight w:val="230"/>
        </w:trPr>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Boston, MA 02110</w:t>
            </w:r>
          </w:p>
        </w:tc>
      </w:tr>
      <w:tr>
        <w:trPr>
          <w:trHeight w:val="431"/>
        </w:trPr>
        <w:tc>
          <w:tcPr>
            <w:tcW w:w="500" w:type="dxa"/>
            <w:vAlign w:val="bottom"/>
          </w:tcPr>
          <w:p>
            <w:pPr>
              <w:spacing w:after="0"/>
              <w:rPr>
                <w:sz w:val="20"/>
                <w:szCs w:val="20"/>
                <w:color w:val="auto"/>
              </w:rPr>
            </w:pPr>
            <w:r>
              <w:rPr>
                <w:rFonts w:ascii="Arial" w:cs="Arial" w:eastAsia="Arial" w:hAnsi="Arial"/>
                <w:sz w:val="18"/>
                <w:szCs w:val="18"/>
                <w:color w:val="auto"/>
              </w:rPr>
              <w:t>2(c)</w:t>
            </w:r>
          </w:p>
        </w:tc>
        <w:tc>
          <w:tcPr>
            <w:tcW w:w="4040" w:type="dxa"/>
            <w:vAlign w:val="bottom"/>
          </w:tcPr>
          <w:p>
            <w:pPr>
              <w:ind w:left="200"/>
              <w:spacing w:after="0"/>
              <w:rPr>
                <w:sz w:val="20"/>
                <w:szCs w:val="20"/>
                <w:color w:val="auto"/>
              </w:rPr>
            </w:pPr>
            <w:r>
              <w:rPr>
                <w:rFonts w:ascii="Arial" w:cs="Arial" w:eastAsia="Arial" w:hAnsi="Arial"/>
                <w:sz w:val="18"/>
                <w:szCs w:val="18"/>
                <w:color w:val="auto"/>
              </w:rPr>
              <w:t>Citizenship:</w:t>
            </w:r>
          </w:p>
        </w:tc>
        <w:tc>
          <w:tcPr>
            <w:tcW w:w="5080" w:type="dxa"/>
            <w:vAlign w:val="bottom"/>
          </w:tcPr>
          <w:p>
            <w:pPr>
              <w:ind w:left="380"/>
              <w:spacing w:after="0"/>
              <w:rPr>
                <w:sz w:val="20"/>
                <w:szCs w:val="20"/>
                <w:color w:val="auto"/>
              </w:rPr>
            </w:pPr>
            <w:r>
              <w:rPr>
                <w:rFonts w:ascii="Arial" w:cs="Arial" w:eastAsia="Arial" w:hAnsi="Arial"/>
                <w:sz w:val="18"/>
                <w:szCs w:val="18"/>
                <w:color w:val="auto"/>
              </w:rPr>
              <w:t>(a) Delaware</w:t>
            </w:r>
          </w:p>
        </w:tc>
      </w:tr>
      <w:tr>
        <w:trPr>
          <w:trHeight w:val="216"/>
        </w:trPr>
        <w:tc>
          <w:tcPr>
            <w:tcW w:w="5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(b) Minnesota</w:t>
            </w:r>
          </w:p>
        </w:tc>
      </w:tr>
      <w:tr>
        <w:trPr>
          <w:trHeight w:val="230"/>
        </w:trPr>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5080" w:type="dxa"/>
            <w:vAlign w:val="bottom"/>
          </w:tcPr>
          <w:p>
            <w:pPr>
              <w:ind w:left="380"/>
              <w:spacing w:after="0"/>
              <w:rPr>
                <w:sz w:val="20"/>
                <w:szCs w:val="20"/>
                <w:color w:val="auto"/>
              </w:rPr>
            </w:pPr>
            <w:r>
              <w:rPr>
                <w:rFonts w:ascii="Arial" w:cs="Arial" w:eastAsia="Arial" w:hAnsi="Arial"/>
                <w:sz w:val="18"/>
                <w:szCs w:val="18"/>
                <w:color w:val="auto"/>
              </w:rPr>
              <w:t>(c) Massachusetts</w:t>
            </w:r>
          </w:p>
        </w:tc>
      </w:tr>
      <w:tr>
        <w:trPr>
          <w:trHeight w:val="446"/>
        </w:trPr>
        <w:tc>
          <w:tcPr>
            <w:tcW w:w="500" w:type="dxa"/>
            <w:vAlign w:val="bottom"/>
          </w:tcPr>
          <w:p>
            <w:pPr>
              <w:spacing w:after="0"/>
              <w:rPr>
                <w:sz w:val="20"/>
                <w:szCs w:val="20"/>
                <w:color w:val="auto"/>
              </w:rPr>
            </w:pPr>
            <w:r>
              <w:rPr>
                <w:rFonts w:ascii="Arial" w:cs="Arial" w:eastAsia="Arial" w:hAnsi="Arial"/>
                <w:sz w:val="18"/>
                <w:szCs w:val="18"/>
                <w:color w:val="auto"/>
              </w:rPr>
              <w:t>2(d)</w:t>
            </w:r>
          </w:p>
        </w:tc>
        <w:tc>
          <w:tcPr>
            <w:tcW w:w="4040" w:type="dxa"/>
            <w:vAlign w:val="bottom"/>
          </w:tcPr>
          <w:p>
            <w:pPr>
              <w:ind w:left="200"/>
              <w:spacing w:after="0"/>
              <w:rPr>
                <w:sz w:val="20"/>
                <w:szCs w:val="20"/>
                <w:color w:val="auto"/>
              </w:rPr>
            </w:pPr>
            <w:r>
              <w:rPr>
                <w:rFonts w:ascii="Arial" w:cs="Arial" w:eastAsia="Arial" w:hAnsi="Arial"/>
                <w:sz w:val="18"/>
                <w:szCs w:val="18"/>
                <w:color w:val="auto"/>
              </w:rPr>
              <w:t>Title of Class of Securities:</w:t>
            </w:r>
          </w:p>
        </w:tc>
        <w:tc>
          <w:tcPr>
            <w:tcW w:w="5080" w:type="dxa"/>
            <w:vAlign w:val="bottom"/>
          </w:tcPr>
          <w:p>
            <w:pPr>
              <w:ind w:left="380"/>
              <w:spacing w:after="0"/>
              <w:rPr>
                <w:sz w:val="20"/>
                <w:szCs w:val="20"/>
                <w:color w:val="auto"/>
              </w:rPr>
            </w:pPr>
            <w:r>
              <w:rPr>
                <w:rFonts w:ascii="Arial" w:cs="Arial" w:eastAsia="Arial" w:hAnsi="Arial"/>
                <w:sz w:val="18"/>
                <w:szCs w:val="18"/>
                <w:color w:val="auto"/>
              </w:rPr>
              <w:t>Common Stock</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2(e)</w:t>
            </w:r>
          </w:p>
        </w:tc>
        <w:tc>
          <w:tcPr>
            <w:tcW w:w="4040" w:type="dxa"/>
            <w:vAlign w:val="bottom"/>
          </w:tcPr>
          <w:p>
            <w:pPr>
              <w:ind w:left="200"/>
              <w:spacing w:after="0"/>
              <w:rPr>
                <w:sz w:val="20"/>
                <w:szCs w:val="20"/>
                <w:color w:val="auto"/>
              </w:rPr>
            </w:pPr>
            <w:r>
              <w:rPr>
                <w:rFonts w:ascii="Arial" w:cs="Arial" w:eastAsia="Arial" w:hAnsi="Arial"/>
                <w:sz w:val="18"/>
                <w:szCs w:val="18"/>
                <w:color w:val="auto"/>
              </w:rPr>
              <w:t>Cusip Number:</w:t>
            </w:r>
          </w:p>
        </w:tc>
        <w:tc>
          <w:tcPr>
            <w:tcW w:w="5080" w:type="dxa"/>
            <w:vAlign w:val="bottom"/>
          </w:tcPr>
          <w:p>
            <w:pPr>
              <w:ind w:left="380"/>
              <w:spacing w:after="0"/>
              <w:rPr>
                <w:sz w:val="20"/>
                <w:szCs w:val="20"/>
                <w:color w:val="auto"/>
              </w:rPr>
            </w:pPr>
            <w:r>
              <w:rPr>
                <w:rFonts w:ascii="Arial" w:cs="Arial" w:eastAsia="Arial" w:hAnsi="Arial"/>
                <w:sz w:val="18"/>
                <w:szCs w:val="18"/>
                <w:color w:val="auto"/>
              </w:rPr>
              <w:t>872417308</w:t>
            </w:r>
          </w:p>
        </w:tc>
      </w:tr>
    </w:tbl>
    <w:p>
      <w:pPr>
        <w:spacing w:after="0" w:line="22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if statement is filed pursuant to Rules 13d-1(b) or 13d-2(b):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Ameriprise Financial, Inc.</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parent holding company in accordance with Rule 13d-1(b)(1)(ii)(G). (Note: See Item 7)</w:t>
      </w:r>
    </w:p>
    <w:p>
      <w:pPr>
        <w:spacing w:after="0" w:line="225" w:lineRule="exact"/>
        <w:rPr>
          <w:sz w:val="20"/>
          <w:szCs w:val="20"/>
          <w:color w:val="auto"/>
        </w:rPr>
      </w:pPr>
    </w:p>
    <w:p>
      <w:pPr>
        <w:jc w:val="center"/>
        <w:ind w:right="5480"/>
        <w:spacing w:after="0"/>
        <w:rPr>
          <w:sz w:val="20"/>
          <w:szCs w:val="20"/>
          <w:color w:val="auto"/>
        </w:rPr>
      </w:pPr>
      <w:r>
        <w:rPr>
          <w:rFonts w:ascii="Arial" w:cs="Arial" w:eastAsia="Arial" w:hAnsi="Arial"/>
          <w:sz w:val="18"/>
          <w:szCs w:val="18"/>
          <w:color w:val="auto"/>
        </w:rPr>
        <w:t>(b) Columbia Management Investment Advisers, LLC</w:t>
      </w:r>
    </w:p>
    <w:p>
      <w:pPr>
        <w:spacing w:after="0" w:line="117" w:lineRule="exact"/>
        <w:rPr>
          <w:sz w:val="20"/>
          <w:szCs w:val="20"/>
          <w:color w:val="auto"/>
        </w:rPr>
      </w:pPr>
    </w:p>
    <w:p>
      <w:pPr>
        <w:jc w:val="center"/>
        <w:ind w:right="5520"/>
        <w:spacing w:after="0"/>
        <w:rPr>
          <w:sz w:val="20"/>
          <w:szCs w:val="20"/>
          <w:color w:val="auto"/>
        </w:rPr>
      </w:pPr>
      <w:r>
        <w:rPr>
          <w:rFonts w:ascii="Arial" w:cs="Arial" w:eastAsia="Arial" w:hAnsi="Arial"/>
          <w:sz w:val="18"/>
          <w:szCs w:val="18"/>
          <w:color w:val="auto"/>
        </w:rPr>
        <w:t>An investment adviser in accordance with Rule 13d-1(b)(1)(ii)(E).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 Columbia Small Cap Value Fund 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investment company in accordance with Rule 13d-1(b)(1)(ii)(D).</w:t>
      </w:r>
    </w:p>
    <w:p>
      <w:pPr>
        <w:spacing w:after="0" w:line="13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Items (5)-(9) and (11) of the cover page pertaining to each reporting person.</w:t>
      </w:r>
    </w:p>
    <w:p>
      <w:pPr>
        <w:spacing w:after="0" w:line="117"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7"/>
          <w:szCs w:val="17"/>
          <w:color w:val="auto"/>
        </w:rPr>
        <w:t>CMIA and AFI do not directly own any shares of Common Stock of the issuer. As the investment adviser to the Fund and various other unregistered and registered investment companies and other managed accounts, CMIA may be deemed to beneficially own the shares reported herein by the Fund. Accordingly, the shares reported herein by CMIA include those shares separately reported herein by the Fund.</w:t>
      </w:r>
    </w:p>
    <w:p>
      <w:pPr>
        <w:sectPr>
          <w:pgSz w:w="11900" w:h="16838" w:orient="portrait"/>
          <w:cols w:equalWidth="0" w:num="1">
            <w:col w:w="11240"/>
          </w:cols>
          <w:pgMar w:left="240" w:top="274" w:right="419" w:bottom="1440" w:gutter="0" w:footer="0" w:header="0"/>
        </w:sectPr>
      </w:pPr>
    </w:p>
    <w:bookmarkStart w:id="5" w:name="page6"/>
    <w:bookmarkEnd w:id="5"/>
    <w:p>
      <w:pPr>
        <w:ind w:left="452"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the parent holding company of CMIA, AFI may be deemed to beneficially own the shares reported herein by CMIA. Accordingly, the shares reported herein by AFI include those shares separately reported herein by CMIA.</w:t>
      </w:r>
    </w:p>
    <w:p>
      <w:pPr>
        <w:spacing w:after="0" w:line="62" w:lineRule="exact"/>
        <w:rPr>
          <w:sz w:val="20"/>
          <w:szCs w:val="20"/>
          <w:color w:val="auto"/>
        </w:rPr>
      </w:pPr>
    </w:p>
    <w:p>
      <w:pPr>
        <w:ind w:left="452" w:right="700"/>
        <w:spacing w:after="0" w:line="277" w:lineRule="auto"/>
        <w:rPr>
          <w:sz w:val="20"/>
          <w:szCs w:val="20"/>
          <w:color w:val="auto"/>
        </w:rPr>
      </w:pPr>
      <w:r>
        <w:rPr>
          <w:rFonts w:ascii="Arial" w:cs="Arial" w:eastAsia="Arial" w:hAnsi="Arial"/>
          <w:sz w:val="18"/>
          <w:szCs w:val="18"/>
          <w:color w:val="auto"/>
        </w:rPr>
        <w:t>Each of AFI and CMIA, and the subsidiaries identified on the attached Exhibit I, disclaims beneficial ownership of any shares reported on this Schedule.</w:t>
      </w:r>
    </w:p>
    <w:p>
      <w:pPr>
        <w:spacing w:after="0" w:line="76" w:lineRule="exact"/>
        <w:rPr>
          <w:sz w:val="20"/>
          <w:szCs w:val="20"/>
          <w:color w:val="auto"/>
        </w:rPr>
      </w:pPr>
    </w:p>
    <w:p>
      <w:pPr>
        <w:ind w:left="452" w:hanging="452"/>
        <w:spacing w:after="0"/>
        <w:tabs>
          <w:tab w:leader="none" w:pos="452" w:val="left"/>
        </w:tabs>
        <w:numPr>
          <w:ilvl w:val="0"/>
          <w:numId w:val="3"/>
        </w:numPr>
        <w:rPr>
          <w:rFonts w:ascii="Arial" w:cs="Arial" w:eastAsia="Arial" w:hAnsi="Arial"/>
          <w:sz w:val="18"/>
          <w:szCs w:val="18"/>
          <w:color w:val="auto"/>
        </w:rPr>
      </w:pPr>
      <w:r>
        <w:rPr>
          <w:rFonts w:ascii="Arial" w:cs="Arial" w:eastAsia="Arial" w:hAnsi="Arial"/>
          <w:sz w:val="18"/>
          <w:szCs w:val="18"/>
          <w:color w:val="auto"/>
        </w:rPr>
        <w:t>Ownership of 5% or Less of a Class: Not Applicable</w:t>
      </w:r>
    </w:p>
    <w:p>
      <w:pPr>
        <w:spacing w:after="0" w:line="131"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Ownership of more than 5% on Behalf of Another Person:</w:t>
      </w:r>
    </w:p>
    <w:p>
      <w:pPr>
        <w:spacing w:after="0" w:line="117" w:lineRule="exact"/>
        <w:rPr>
          <w:rFonts w:ascii="Arial" w:cs="Arial" w:eastAsia="Arial" w:hAnsi="Arial"/>
          <w:sz w:val="18"/>
          <w:szCs w:val="18"/>
          <w:color w:val="auto"/>
        </w:rPr>
      </w:pPr>
    </w:p>
    <w:p>
      <w:pPr>
        <w:ind w:left="452" w:right="80"/>
        <w:spacing w:after="0" w:line="259" w:lineRule="auto"/>
        <w:rPr>
          <w:rFonts w:ascii="Arial" w:cs="Arial" w:eastAsia="Arial" w:hAnsi="Arial"/>
          <w:sz w:val="18"/>
          <w:szCs w:val="18"/>
          <w:color w:val="auto"/>
        </w:rPr>
      </w:pPr>
      <w:r>
        <w:rPr>
          <w:rFonts w:ascii="Arial" w:cs="Arial" w:eastAsia="Arial" w:hAnsi="Arial"/>
          <w:sz w:val="18"/>
          <w:szCs w:val="18"/>
          <w:color w:val="auto"/>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December 31, 2014, only the Fund owned more than 5% of the class of securities reported herein.</w:t>
      </w:r>
    </w:p>
    <w:p>
      <w:pPr>
        <w:spacing w:after="0" w:line="78" w:lineRule="exact"/>
        <w:rPr>
          <w:rFonts w:ascii="Arial" w:cs="Arial" w:eastAsia="Arial" w:hAnsi="Arial"/>
          <w:sz w:val="18"/>
          <w:szCs w:val="18"/>
          <w:color w:val="auto"/>
        </w:rPr>
      </w:pPr>
    </w:p>
    <w:p>
      <w:pPr>
        <w:ind w:left="452"/>
        <w:spacing w:after="0" w:line="259" w:lineRule="auto"/>
        <w:rPr>
          <w:rFonts w:ascii="Arial" w:cs="Arial" w:eastAsia="Arial" w:hAnsi="Arial"/>
          <w:sz w:val="18"/>
          <w:szCs w:val="18"/>
          <w:color w:val="auto"/>
        </w:rPr>
      </w:pPr>
      <w:r>
        <w:rPr>
          <w:rFonts w:ascii="Arial" w:cs="Arial" w:eastAsia="Arial" w:hAnsi="Arial"/>
          <w:sz w:val="18"/>
          <w:szCs w:val="18"/>
          <w:color w:val="auto"/>
        </w:rPr>
        <w:t>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December 31, 2014.</w:t>
      </w:r>
    </w:p>
    <w:p>
      <w:pPr>
        <w:spacing w:after="0" w:line="92"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AFI: See Exhibit I</w:t>
      </w:r>
    </w:p>
    <w:p>
      <w:pPr>
        <w:spacing w:after="0" w:line="131" w:lineRule="exact"/>
        <w:rPr>
          <w:sz w:val="20"/>
          <w:szCs w:val="20"/>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Identification and Classification of Members of the Group:</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ind w:left="452" w:hanging="452"/>
        <w:spacing w:after="0"/>
        <w:tabs>
          <w:tab w:leader="none" w:pos="452"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Not Applicable</w:t>
      </w:r>
    </w:p>
    <w:p>
      <w:pPr>
        <w:spacing w:after="0" w:line="131" w:lineRule="exact"/>
        <w:rPr>
          <w:sz w:val="20"/>
          <w:szCs w:val="20"/>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Certification:</w:t>
      </w:r>
    </w:p>
    <w:p>
      <w:pPr>
        <w:spacing w:after="0" w:line="117" w:lineRule="exact"/>
        <w:rPr>
          <w:rFonts w:ascii="Arial" w:cs="Arial" w:eastAsia="Arial" w:hAnsi="Arial"/>
          <w:sz w:val="18"/>
          <w:szCs w:val="18"/>
          <w:color w:val="auto"/>
        </w:rPr>
      </w:pPr>
    </w:p>
    <w:p>
      <w:pPr>
        <w:ind w:left="452" w:right="20"/>
        <w:spacing w:after="0" w:line="264" w:lineRule="auto"/>
        <w:rPr>
          <w:rFonts w:ascii="Arial" w:cs="Arial" w:eastAsia="Arial" w:hAnsi="Arial"/>
          <w:sz w:val="18"/>
          <w:szCs w:val="18"/>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1412"/>
          </w:cols>
          <w:pgMar w:left="248"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ind w:left="460" w:right="50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Martha Skinner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Martha Skinner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 – Financial Reporting – Accounting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Administration Services</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Columbia Management Investment Advisers,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Amy Johnson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Amy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COO and Managing 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Columbia Small Cap Value Fund I</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Goucher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Paul Goucher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 Chief Legal</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Officer and Assistant Secretary</w:t>
            </w:r>
          </w:p>
        </w:tc>
      </w:tr>
    </w:tbl>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Contact Information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Martha Skinner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Director – Fund Administration –</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Financial Reporting</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Telephone: (612) 671-7086</w:t>
      </w:r>
    </w:p>
    <w:p>
      <w:pPr>
        <w:sectPr>
          <w:pgSz w:w="11900" w:h="16838" w:orient="portrait"/>
          <w:cols w:equalWidth="0" w:num="1">
            <w:col w:w="11420"/>
          </w:cols>
          <w:pgMar w:left="240" w:top="274" w:right="239" w:bottom="1440" w:gutter="0" w:footer="0" w:header="0"/>
        </w:sectPr>
      </w:pPr>
    </w:p>
    <w:bookmarkStart w:id="7" w:name="page8"/>
    <w:bookmarkEnd w:id="7"/>
    <w:p>
      <w:pPr>
        <w:ind w:left="52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3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II</w:t>
      </w:r>
      <w:r>
        <w:rPr>
          <w:sz w:val="20"/>
          <w:szCs w:val="20"/>
          <w:color w:val="auto"/>
        </w:rPr>
        <w:tab/>
      </w:r>
      <w:r>
        <w:rPr>
          <w:rFonts w:ascii="Arial" w:cs="Arial" w:eastAsia="Arial" w:hAnsi="Arial"/>
          <w:sz w:val="16"/>
          <w:szCs w:val="16"/>
          <w:color w:val="auto"/>
        </w:rPr>
        <w:t>Joint Filing Agreement</w:t>
      </w:r>
    </w:p>
    <w:p>
      <w:pPr>
        <w:sectPr>
          <w:pgSz w:w="11900" w:h="16838" w:orient="portrait"/>
          <w:cols w:equalWidth="0" w:num="1">
            <w:col w:w="10660"/>
          </w:cols>
          <w:pgMar w:left="240" w:top="274" w:right="9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Ameriprise Financial, Inc., a Delaware Corporation, is a parent holding company. The classification and identity of the relevant subsidiaries is as follows:</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Investment Adviser – Columbia Management Investment Advisers, LLC is an investment adviser registered under section 203 of the Investment Advisers Act of 1940.</w:t>
      </w:r>
    </w:p>
    <w:p>
      <w:pPr>
        <w:sectPr>
          <w:pgSz w:w="11900" w:h="16838" w:orient="portrait"/>
          <w:cols w:equalWidth="0" w:num="1">
            <w:col w:w="11400"/>
          </w:cols>
          <w:pgMar w:left="240" w:top="125" w:right="25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color w:val="auto"/>
        </w:rPr>
        <w:t>Exhibit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undersigned persons agree and consent to the joint filing on their behalf of this Schedule 13G dated February 13, 2015 in connection with their beneficial ownership of TGC Industries, Inc. Each of Columbia Small Cap Value Fund I and Columbia Management Investment Advisers, LLC authorizes Ameriprise Financial, Inc. to execute the Schedule 13G to which this Exhibit is attached and make any necessary amendments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Ameriprise Financial,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Martha Skinner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912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Martha Skinner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Director – Financial Reporting – Accounting and Administration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Columbia Management Investment Advisers,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Amy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912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Amy Johnson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COO and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Columbia Small Cap Value Fund I</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Goucher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912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Paul Goucher</w:t>
      </w:r>
    </w:p>
    <w:p>
      <w:pPr>
        <w:spacing w:after="0" w:line="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Chief Legal Officer and Assistant Secretary</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3"/>
      <w:numFmt w:val="bullet"/>
      <w:start w:val="1"/>
    </w:lvl>
  </w:abstractNum>
  <w:abstractNum w:abstractNumId="1">
    <w:nsid w:val="46E87CCD"/>
    <w:multiLevelType w:val="hybridMultilevel"/>
    <w:lvl w:ilvl="0">
      <w:lvlJc w:val="left"/>
      <w:lvlText w:val="4"/>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7"/>
      <w:numFmt w:val="bullet"/>
      <w:start w:val="1"/>
    </w:lvl>
  </w:abstractNum>
  <w:abstractNum w:abstractNumId="5">
    <w:nsid w:val="41B71EFB"/>
    <w:multiLevelType w:val="hybridMultilevel"/>
    <w:lvl w:ilvl="0">
      <w:lvlJc w:val="left"/>
      <w:lvlText w:val="8"/>
      <w:numFmt w:val="bullet"/>
      <w:start w:val="1"/>
    </w:lvl>
  </w:abstractNum>
  <w:abstractNum w:abstractNumId="6">
    <w:nsid w:val="79E2A9E3"/>
    <w:multiLevelType w:val="hybridMultilevel"/>
    <w:lvl w:ilvl="0">
      <w:lvlJc w:val="left"/>
      <w:lvlText w:val="9"/>
      <w:numFmt w:val="bullet"/>
      <w:start w:val="1"/>
    </w:lvl>
  </w:abstractNum>
  <w:abstractNum w:abstractNumId="7">
    <w:nsid w:val="7545E146"/>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2019-12-06T00:02:05Z</dcterms:created>
  <dcterms:modified xsi:type="dcterms:W3CDTF">2019-12-06T00:02:05Z</dcterms:modified>
</cp:coreProperties>
</file>