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dwsn-20260813x8k.htm"/>
      <w:bookmarkStart w:id="1" w:name="ksdwsn20260813x8k"/>
      <w:bookmarkEnd w:id="0"/>
      <w:bookmarkEnd w:id="1"/>
      <w:r>
        <w:rPr/>
        <w:t> </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6093f112_34b5_4989_b387_7409d63db48b"/>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CURRENT REPORT</w:t>
      </w:r>
      <w:r>
        <w:rPr>
          <w:rFonts w:ascii="Times New Roman;Times;serif" w:hAnsi="Times New Roman;Times;serif"/>
          <w:sz w:val="20"/>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Section 13 or 15(d)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the Securities Exchange Act of 1934</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August 13, 2026</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DAWSON GEOPHYSICAL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3" w:name="Tc_E0Y-lf_vl0i9eWChmgMlwQ_2_2"/>
      <w:bookmarkStart w:id="4" w:name="Tc_dXkkJedNYUyDLGsEp7XsMw_2_1"/>
      <w:bookmarkStart w:id="5" w:name="Tc_xQswhOOZTE-1TEIfnYMFcQ_2_0"/>
      <w:bookmarkStart w:id="6" w:name="_ac44583d_c586_47d6_b4ed_b932640050b6"/>
      <w:bookmarkStart w:id="7" w:name="Tc_E0Y-lf_vl0i9eWChmgMlwQ_2_2"/>
      <w:bookmarkStart w:id="8" w:name="Tc_dXkkJedNYUyDLGsEp7XsMw_2_1"/>
      <w:bookmarkStart w:id="9" w:name="Tc_xQswhOOZTE-1TEIfnYMFcQ_2_0"/>
      <w:bookmarkStart w:id="10" w:name="_ac44583d_c586_47d6_b4ed_b932640050b6"/>
      <w:bookmarkEnd w:id="7"/>
      <w:bookmarkEnd w:id="8"/>
      <w:bookmarkEnd w:id="9"/>
      <w:bookmarkEnd w:id="10"/>
    </w:p>
    <w:tbl>
      <w:tblPr>
        <w:tblW w:w="7503" w:type="dxa"/>
        <w:jc w:val="left"/>
        <w:tblInd w:w="0" w:type="dxa"/>
        <w:tblLayout w:type="fixed"/>
        <w:tblCellMar>
          <w:top w:w="0" w:type="dxa"/>
          <w:left w:w="0" w:type="dxa"/>
          <w:bottom w:w="0" w:type="dxa"/>
          <w:right w:w="0" w:type="dxa"/>
        </w:tblCellMar>
      </w:tblPr>
      <w:tblGrid>
        <w:gridCol w:w="1951"/>
        <w:gridCol w:w="2221"/>
        <w:gridCol w:w="333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2221"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c>
          <w:tcPr>
            <w:tcW w:w="22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001-32472</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74-2095844</w:t>
            </w:r>
          </w:p>
        </w:tc>
      </w:tr>
      <w:tr>
        <w:trPr/>
        <w:tc>
          <w:tcPr>
            <w:tcW w:w="19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of incorporation</w:t>
              <w:br/>
              <w:t>or organization)</w:t>
            </w:r>
          </w:p>
        </w:tc>
        <w:tc>
          <w:tcPr>
            <w:tcW w:w="22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3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508 West Wall, Suite 800</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0"/>
        </w:rPr>
        <w:t>Midland, Texas</w:t>
      </w:r>
      <w:r>
        <w:rPr>
          <w:rFonts w:ascii="Times New Roman;Times;serif" w:hAnsi="Times New Roman;Times;serif"/>
          <w:sz w:val="24"/>
        </w:rPr>
        <w:t xml:space="preserve"> </w:t>
      </w:r>
      <w:r>
        <w:rPr>
          <w:rFonts w:ascii="Times New Roman;Times;serif" w:hAnsi="Times New Roman;Times;serif"/>
          <w:b/>
          <w:sz w:val="20"/>
        </w:rPr>
        <w:t>79701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(432) 684-3000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z w:val="20"/>
        </w:rPr>
        <w:t>see</w:t>
      </w:r>
      <w:r>
        <w:rPr>
          <w:rFonts w:ascii="Times New Roman;Times;serif" w:hAnsi="Times New Roman;Times;serif"/>
          <w:sz w:val="20"/>
        </w:rPr>
        <w:t xml:space="preserve"> General Instruction A.2. below):</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t xml:space="preserve">☐  </w:t>
      </w:r>
      <w:r>
        <w:rPr>
          <w:rFonts w:ascii="Times New Roman;Times;serif" w:hAnsi="Times New Roman;Times;serif"/>
          <w:sz w:val="18"/>
        </w:rPr>
        <w:t>Written communications pursuant to Rule 425 under the Securities Act (17 CFR 230.425)</w:t>
      </w:r>
    </w:p>
    <w:p>
      <w:pPr>
        <w:pStyle w:val="TextBody"/>
        <w:bidi w:val="0"/>
        <w:spacing w:before="0" w:after="0"/>
        <w:ind w:left="0" w:right="0" w:firstLine="360"/>
        <w:jc w:val="left"/>
        <w:rPr/>
      </w:pPr>
      <w:r>
        <w:rPr/>
        <w:t xml:space="preserve">☐  </w:t>
      </w:r>
      <w:r>
        <w:rPr>
          <w:rFonts w:ascii="Times New Roman;Times;serif" w:hAnsi="Times New Roman;Times;serif"/>
          <w:sz w:val="18"/>
        </w:rPr>
        <w:t>Soliciting material pursuant to Rule 14a-12 under the Exchange Act (17 CFR 240.14a-12)</w:t>
      </w:r>
    </w:p>
    <w:p>
      <w:pPr>
        <w:pStyle w:val="TextBody"/>
        <w:bidi w:val="0"/>
        <w:spacing w:before="0" w:after="0"/>
        <w:ind w:left="0" w:right="0" w:firstLine="360"/>
        <w:jc w:val="left"/>
        <w:rPr/>
      </w:pPr>
      <w:r>
        <w:rPr/>
        <w:t xml:space="preserve">☐  </w:t>
      </w:r>
      <w:r>
        <w:rPr>
          <w:rFonts w:ascii="Times New Roman;Times;serif" w:hAnsi="Times New Roman;Times;serif"/>
          <w:sz w:val="18"/>
        </w:rPr>
        <w:t>Pre-commencement communications pursuant to Rule 14d-2(b) under the Exchange Act (17 CFR 240.14d-2(b))</w:t>
      </w:r>
    </w:p>
    <w:p>
      <w:pPr>
        <w:pStyle w:val="TextBody"/>
        <w:bidi w:val="0"/>
        <w:spacing w:before="0" w:after="0"/>
        <w:ind w:left="0" w:right="0" w:firstLine="360"/>
        <w:jc w:val="left"/>
        <w:rPr/>
      </w:pPr>
      <w:r>
        <w:rPr/>
        <w:t xml:space="preserve">☐  </w:t>
      </w:r>
      <w:r>
        <w:rPr>
          <w:rFonts w:ascii="Times New Roman;Times;serif" w:hAnsi="Times New Roman;Times;serif"/>
          <w:sz w:val="18"/>
        </w:rPr>
        <w:t>Pre-commencement communications pursuant to Rule 13e-4(c) under the Exchange Act (17 CFR 240.13e-4(c))</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1" w:name="Tc_jg4ObVmM-06I2o8zEVks5g_1_4"/>
      <w:bookmarkStart w:id="12" w:name="Tc_bPt83pcjr0KiBHz_KEMCPA_1_2"/>
      <w:bookmarkStart w:id="13" w:name="Tc_vSlyVqsoR0GqvhsvdSSlzg_1_0"/>
      <w:bookmarkStart w:id="14" w:name="_1e845a29_42f5_46c4_b4ed_57f4cf02458f"/>
      <w:bookmarkStart w:id="15" w:name="Tc_jg4ObVmM-06I2o8zEVks5g_1_4"/>
      <w:bookmarkStart w:id="16" w:name="Tc_bPt83pcjr0KiBHz_KEMCPA_1_2"/>
      <w:bookmarkStart w:id="17" w:name="Tc_vSlyVqsoR0GqvhsvdSSlzg_1_0"/>
      <w:bookmarkStart w:id="18" w:name="_1e845a29_42f5_46c4_b4ed_57f4cf02458f"/>
      <w:bookmarkEnd w:id="15"/>
      <w:bookmarkEnd w:id="16"/>
      <w:bookmarkEnd w:id="17"/>
      <w:bookmarkEnd w:id="18"/>
    </w:p>
    <w:tbl>
      <w:tblPr>
        <w:tblW w:w="7600" w:type="dxa"/>
        <w:jc w:val="left"/>
        <w:tblInd w:w="0" w:type="dxa"/>
        <w:tblLayout w:type="fixed"/>
        <w:tblCellMar>
          <w:top w:w="0" w:type="dxa"/>
          <w:left w:w="0" w:type="dxa"/>
          <w:bottom w:w="0" w:type="dxa"/>
          <w:right w:w="0" w:type="dxa"/>
        </w:tblCellMar>
      </w:tblPr>
      <w:tblGrid>
        <w:gridCol w:w="2821"/>
        <w:gridCol w:w="146"/>
        <w:gridCol w:w="1621"/>
        <w:gridCol w:w="146"/>
        <w:gridCol w:w="286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866" w:type="dxa"/>
            <w:tcBorders/>
            <w:vAlign w:val="center"/>
          </w:tcPr>
          <w:p>
            <w:pPr>
              <w:pStyle w:val="TableContents"/>
              <w:bidi w:val="0"/>
              <w:spacing w:before="0" w:after="283"/>
              <w:ind w:left="0" w:right="0" w:hanging="0"/>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w:t>
              <w:br/>
              <w:t>registered</w:t>
            </w:r>
          </w:p>
        </w:tc>
      </w:tr>
      <w:tr>
        <w:trPr/>
        <w:tc>
          <w:tcPr>
            <w:tcW w:w="28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1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DWSN</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Stock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9" w:name="_6e260b47_3599_48e8_ac5b_19ae64d82e71"/>
      <w:bookmarkEnd w:id="19"/>
      <w:r>
        <w:rPr/>
        <w:t>​</w:t>
      </w:r>
    </w:p>
    <w:tbl>
      <w:tblPr>
        <w:tblW w:w="5057" w:type="dxa"/>
        <w:jc w:val="left"/>
        <w:tblInd w:w="0" w:type="dxa"/>
        <w:tblLayout w:type="fixed"/>
        <w:tblCellMar>
          <w:top w:w="0" w:type="dxa"/>
          <w:left w:w="0" w:type="dxa"/>
          <w:bottom w:w="0" w:type="dxa"/>
          <w:right w:w="0" w:type="dxa"/>
        </w:tblCellMar>
      </w:tblPr>
      <w:tblGrid>
        <w:gridCol w:w="961"/>
        <w:gridCol w:w="4096"/>
      </w:tblGrid>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w:t>
            </w:r>
          </w:p>
        </w:tc>
        <w:tc>
          <w:tcPr>
            <w:tcW w:w="409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409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2.02.</w:t>
            </w:r>
          </w:p>
        </w:tc>
        <w:tc>
          <w:tcPr>
            <w:tcW w:w="4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 and Financial Condition.</w:t>
            </w:r>
          </w:p>
          <w:p>
            <w:pPr>
              <w:pStyle w:val="TableContents"/>
              <w:bidi w:val="0"/>
              <w:spacing w:before="0" w:after="0"/>
              <w:ind w:left="0" w:right="0" w:hanging="0"/>
              <w:jc w:val="left"/>
              <w:rPr/>
            </w:pPr>
            <w:r>
              <w:rPr/>
              <w:t>​</w:t>
            </w:r>
          </w:p>
        </w:tc>
      </w:tr>
    </w:tbl>
    <w:p>
      <w:pPr>
        <w:pStyle w:val="TextBody"/>
        <w:bidi w:val="0"/>
        <w:spacing w:before="100" w:after="100"/>
        <w:ind w:left="0" w:right="0" w:hanging="0"/>
        <w:jc w:val="left"/>
        <w:rPr/>
      </w:pPr>
      <w:r>
        <w:rPr/>
        <w:t>​</w:t>
      </w:r>
    </w:p>
    <w:p>
      <w:pPr>
        <w:pStyle w:val="TextBody"/>
        <w:bidi w:val="0"/>
        <w:spacing w:lineRule="auto" w:line="328" w:before="0" w:after="0"/>
        <w:ind w:left="0" w:right="300" w:firstLine="648"/>
        <w:jc w:val="left"/>
        <w:rPr>
          <w:rFonts w:ascii="Times New Roman;Times;serif" w:hAnsi="Times New Roman;Times;serif"/>
          <w:sz w:val="20"/>
        </w:rPr>
      </w:pPr>
      <w:r>
        <w:rPr>
          <w:rFonts w:ascii="Times New Roman;Times;serif" w:hAnsi="Times New Roman;Times;serif"/>
          <w:sz w:val="20"/>
        </w:rPr>
        <w:t>On August 13, 2026, Dawson Geophysical Company (the “Company”) issued a press release reporting its preliminary and unaudited financial results for its second quarter ended June 30, 2026. A copy of the press release is furnished herewith as Exhibit 99.1.</w:t>
      </w:r>
    </w:p>
    <w:p>
      <w:pPr>
        <w:pStyle w:val="TextBody"/>
        <w:bidi w:val="0"/>
        <w:spacing w:lineRule="auto" w:line="328" w:before="0" w:after="0"/>
        <w:ind w:left="0" w:right="300" w:firstLine="648"/>
        <w:jc w:val="left"/>
        <w:rPr/>
      </w:pPr>
      <w:r>
        <w:rPr/>
        <w:t>​</w:t>
      </w:r>
    </w:p>
    <w:p>
      <w:pPr>
        <w:pStyle w:val="TextBody"/>
        <w:bidi w:val="0"/>
        <w:spacing w:lineRule="auto" w:line="328" w:before="0" w:after="0"/>
        <w:ind w:left="0" w:right="302" w:firstLine="648"/>
        <w:jc w:val="left"/>
        <w:rPr>
          <w:rFonts w:ascii="Times New Roman;Times;serif" w:hAnsi="Times New Roman;Times;serif"/>
          <w:sz w:val="20"/>
        </w:rPr>
      </w:pPr>
      <w:r>
        <w:rPr>
          <w:rFonts w:ascii="Times New Roman;Times;serif" w:hAnsi="Times New Roman;Times;serif"/>
          <w:b/>
          <w:i/>
          <w:sz w:val="20"/>
        </w:rPr>
        <w:t>Limitation on Incorporation by Reference.</w:t>
      </w:r>
      <w:r>
        <w:rPr>
          <w:rFonts w:ascii="Times New Roman;Times;serif" w:hAnsi="Times New Roman;Times;serif"/>
          <w:sz w:val="20"/>
        </w:rPr>
        <w:t> The information furnished in this Item 2.02, including the press release attached hereto as Exhibit 99.1,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pStyle w:val="TextBody"/>
        <w:bidi w:val="0"/>
        <w:spacing w:lineRule="auto" w:line="328" w:before="0" w:after="0"/>
        <w:ind w:left="0" w:right="302" w:firstLine="648"/>
        <w:jc w:val="left"/>
        <w:rPr/>
      </w:pPr>
      <w:r>
        <w:rPr/>
        <w:t> </w:t>
      </w:r>
    </w:p>
    <w:p>
      <w:pPr>
        <w:pStyle w:val="TextBody"/>
        <w:bidi w:val="0"/>
        <w:spacing w:lineRule="auto" w:line="328" w:before="0" w:after="0"/>
        <w:ind w:left="0" w:right="302" w:firstLine="648"/>
        <w:jc w:val="left"/>
        <w:rPr>
          <w:rFonts w:ascii="Times New Roman;Times;serif" w:hAnsi="Times New Roman;Times;serif"/>
          <w:sz w:val="20"/>
        </w:rPr>
      </w:pPr>
      <w:r>
        <w:rPr>
          <w:rFonts w:ascii="Times New Roman;Times;serif" w:hAnsi="Times New Roman;Times;serif"/>
          <w:b/>
          <w:i/>
          <w:sz w:val="20"/>
        </w:rPr>
        <w:t>Cautionary Note Regarding Forward-Looking Statements.</w:t>
      </w:r>
      <w:r>
        <w:rPr>
          <w:rFonts w:ascii="Times New Roman;Times;serif" w:hAnsi="Times New Roman;Times;serif"/>
          <w:sz w:val="20"/>
        </w:rPr>
        <w:t> Except for historical information contained in the press release attached as an exhibit hereto, the press release contains forward-looking statements that involve certain risks and uncertainties that could cause actual results to differ materially from those expressed or implied by these statements. Please refer to the cautionary note in the press release regarding these forward-looking statements.</w:t>
      </w:r>
    </w:p>
    <w:p>
      <w:pPr>
        <w:pStyle w:val="TextBody"/>
        <w:bidi w:val="0"/>
        <w:spacing w:lineRule="auto" w:line="328" w:before="0" w:after="0"/>
        <w:ind w:left="0" w:right="300" w:firstLine="648"/>
        <w:jc w:val="left"/>
        <w:rPr/>
      </w:pPr>
      <w:r>
        <w:rPr/>
        <w:t>​</w:t>
      </w:r>
    </w:p>
    <w:tbl>
      <w:tblPr>
        <w:tblW w:w="4037" w:type="dxa"/>
        <w:jc w:val="left"/>
        <w:tblInd w:w="0" w:type="dxa"/>
        <w:tblLayout w:type="fixed"/>
        <w:tblCellMar>
          <w:top w:w="0" w:type="dxa"/>
          <w:left w:w="0" w:type="dxa"/>
          <w:bottom w:w="0" w:type="dxa"/>
          <w:right w:w="0" w:type="dxa"/>
        </w:tblCellMar>
      </w:tblPr>
      <w:tblGrid>
        <w:gridCol w:w="961"/>
        <w:gridCol w:w="3076"/>
      </w:tblGrid>
      <w:tr>
        <w:trPr/>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307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3076" w:type="dxa"/>
            <w:tcBorders/>
            <w:vAlign w:val="center"/>
          </w:tcPr>
          <w:p>
            <w:pPr>
              <w:pStyle w:val="TableContents"/>
              <w:bidi w:val="0"/>
              <w:spacing w:before="0" w:after="283"/>
              <w:ind w:left="0" w:right="0" w:hanging="0"/>
              <w:jc w:val="left"/>
              <w:rPr>
                <w:sz w:val="4"/>
                <w:szCs w:val="4"/>
              </w:rPr>
            </w:pPr>
            <w:r>
              <w:rPr>
                <w:sz w:val="4"/>
                <w:szCs w:val="4"/>
              </w:rPr>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9.01.</w:t>
            </w:r>
          </w:p>
        </w:tc>
        <w:tc>
          <w:tcPr>
            <w:tcW w:w="30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Statements and Exhibits.</w:t>
            </w:r>
          </w:p>
          <w:p>
            <w:pPr>
              <w:pStyle w:val="TableContents"/>
              <w:bidi w:val="0"/>
              <w:spacing w:before="0" w:after="0"/>
              <w:ind w:left="0" w:right="0" w:hanging="0"/>
              <w:jc w:val="left"/>
              <w:rPr/>
            </w:pPr>
            <w:r>
              <w:rPr/>
              <w:t>​</w:t>
            </w:r>
          </w:p>
        </w:tc>
      </w:tr>
    </w:tbl>
    <w:p>
      <w:pPr>
        <w:pStyle w:val="TextBody"/>
        <w:bidi w:val="0"/>
        <w:spacing w:before="100" w:after="100"/>
        <w:ind w:left="0" w:right="0" w:hanging="0"/>
        <w:jc w:val="left"/>
        <w:rPr/>
      </w:pPr>
      <w:r>
        <w:rPr/>
        <w:t>​</w:t>
      </w:r>
    </w:p>
    <w:p>
      <w:pPr>
        <w:pStyle w:val="TextBody"/>
        <w:bidi w:val="0"/>
        <w:spacing w:lineRule="auto" w:line="328" w:before="0" w:after="0"/>
        <w:ind w:left="0" w:right="300" w:firstLine="648"/>
        <w:jc w:val="left"/>
        <w:rPr/>
      </w:pPr>
      <w:r>
        <w:rPr/>
        <w:t>​</w:t>
      </w:r>
    </w:p>
    <w:p>
      <w:pPr>
        <w:pStyle w:val="TextBody"/>
        <w:bidi w:val="0"/>
        <w:spacing w:lineRule="auto" w:line="328" w:before="0" w:after="0"/>
        <w:ind w:left="0" w:right="300" w:hanging="0"/>
        <w:jc w:val="left"/>
        <w:rPr/>
      </w:pPr>
      <w:r>
        <w:rPr>
          <w:caps w:val="false"/>
          <w:smallCaps w:val="false"/>
        </w:rPr>
        <w:t> </w:t>
      </w:r>
      <w:r>
        <w:rPr>
          <w:rFonts w:ascii="Times New Roman;Times;serif" w:hAnsi="Times New Roman;Times;serif"/>
          <w:b/>
          <w:i w:val="false"/>
          <w:caps w:val="false"/>
          <w:smallCaps w:val="false"/>
          <w:sz w:val="20"/>
        </w:rPr>
        <w:t>(d)</w:t>
      </w:r>
      <w:r>
        <w:rPr>
          <w:rFonts w:ascii="Times New Roman;Times;serif" w:hAnsi="Times New Roman;Times;serif"/>
          <w:b/>
          <w:i/>
          <w:sz w:val="20"/>
        </w:rPr>
        <w:t>Exhibits.</w:t>
      </w:r>
    </w:p>
    <w:p>
      <w:pPr>
        <w:pStyle w:val="TextBody"/>
        <w:bidi w:val="0"/>
        <w:spacing w:lineRule="auto" w:line="328" w:before="0" w:after="0"/>
        <w:ind w:left="0" w:right="300" w:firstLine="648"/>
        <w:jc w:val="left"/>
        <w:rPr/>
      </w:pPr>
      <w:r>
        <w:rPr/>
        <w:t>​</w:t>
      </w:r>
    </w:p>
    <w:p>
      <w:pPr>
        <w:pStyle w:val="TextBody"/>
        <w:bidi w:val="0"/>
        <w:spacing w:before="100" w:after="100"/>
        <w:ind w:left="0" w:right="0" w:firstLine="720"/>
        <w:jc w:val="left"/>
        <w:rPr/>
      </w:pPr>
      <w:r>
        <w:rPr/>
        <w:t>​</w:t>
      </w:r>
    </w:p>
    <w:tbl>
      <w:tblPr>
        <w:tblW w:w="8417" w:type="dxa"/>
        <w:jc w:val="left"/>
        <w:tblInd w:w="0" w:type="dxa"/>
        <w:tblLayout w:type="fixed"/>
        <w:tblCellMar>
          <w:top w:w="0" w:type="dxa"/>
          <w:left w:w="0" w:type="dxa"/>
          <w:bottom w:w="0" w:type="dxa"/>
          <w:right w:w="0" w:type="dxa"/>
        </w:tblCellMar>
      </w:tblPr>
      <w:tblGrid>
        <w:gridCol w:w="1771"/>
        <w:gridCol w:w="664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p>
        </w:tc>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NUMBER</w:t>
            </w:r>
          </w:p>
        </w:tc>
        <w:tc>
          <w:tcPr>
            <w:tcW w:w="6646" w:type="dxa"/>
            <w:tcBorders>
              <w:top w:val="single" w:sz="8" w:space="0" w:color="000000"/>
              <w:bottom w:val="single" w:sz="8" w:space="0" w:color="000000"/>
              <w:right w:val="single" w:sz="8" w:space="0" w:color="000000"/>
            </w:tcBorders>
            <w:tcMar>
              <w:top w:w="2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771" w:type="dxa"/>
            <w:tcBorders>
              <w:left w:val="single" w:sz="8" w:space="0" w:color="000000"/>
              <w:bottom w:val="single" w:sz="8" w:space="0" w:color="000000"/>
              <w:right w:val="single" w:sz="8" w:space="0" w:color="000000"/>
            </w:tcBorders>
            <w:tcMar>
              <w:left w:w="98" w:type="dxa"/>
              <w:bottom w:w="28" w:type="dxa"/>
              <w:right w:w="98" w:type="dxa"/>
            </w:tcMar>
            <w:vAlign w:val="center"/>
          </w:tcPr>
          <w:p>
            <w:pPr>
              <w:pStyle w:val="TableContents"/>
              <w:bidi w:val="0"/>
              <w:spacing w:before="0" w:after="0"/>
              <w:ind w:left="0" w:right="0" w:hanging="0"/>
              <w:jc w:val="left"/>
              <w:rPr/>
            </w:pPr>
            <w:hyperlink w:anchor="dwsn-20260813xex99d1.htm">
              <w:r>
                <w:rPr>
                  <w:rStyle w:val="InternetLink"/>
                  <w:rFonts w:ascii="Times New Roman;Times;serif" w:hAnsi="Times New Roman;Times;serif"/>
                  <w:b w:val="false"/>
                  <w:i w:val="false"/>
                  <w:caps w:val="false"/>
                  <w:smallCaps w:val="false"/>
                  <w:sz w:val="24"/>
                </w:rPr>
                <w:t>99.1</w:t>
              </w:r>
            </w:hyperlink>
          </w:p>
        </w:tc>
        <w:tc>
          <w:tcPr>
            <w:tcW w:w="6646" w:type="dxa"/>
            <w:tcBorders>
              <w:bottom w:val="single" w:sz="8" w:space="0" w:color="000000"/>
              <w:right w:val="single" w:sz="8" w:space="0" w:color="000000"/>
            </w:tcBorders>
            <w:tcMar>
              <w:bottom w:w="28" w:type="dxa"/>
              <w:right w:w="98" w:type="dxa"/>
            </w:tcMar>
            <w:vAlign w:val="center"/>
          </w:tcPr>
          <w:p>
            <w:pPr>
              <w:pStyle w:val="TableContents"/>
              <w:bidi w:val="0"/>
              <w:spacing w:before="0" w:after="0"/>
              <w:ind w:left="0" w:right="0" w:hanging="0"/>
              <w:jc w:val="left"/>
              <w:rPr/>
            </w:pPr>
            <w:hyperlink w:anchor="dwsn-20260813xex99d1.htm">
              <w:r>
                <w:rPr>
                  <w:rStyle w:val="InternetLink"/>
                  <w:rFonts w:ascii="Times New Roman;Times;serif" w:hAnsi="Times New Roman;Times;serif"/>
                  <w:b w:val="false"/>
                  <w:i w:val="false"/>
                  <w:caps w:val="false"/>
                  <w:smallCaps w:val="false"/>
                  <w:sz w:val="20"/>
                </w:rPr>
                <w:t>Press release dated August 13, 2026</w:t>
              </w:r>
            </w:hyperlink>
            <w:r>
              <w:rPr>
                <w:rFonts w:ascii="Times New Roman;Times;serif" w:hAnsi="Times New Roman;Times;serif"/>
                <w:sz w:val="20"/>
              </w:rPr>
              <w:t xml:space="preserve"> </w:t>
            </w:r>
          </w:p>
        </w:tc>
      </w:tr>
      <w:tr>
        <w:trPr/>
        <w:tc>
          <w:tcPr>
            <w:tcW w:w="1771" w:type="dxa"/>
            <w:tcBorders>
              <w:left w:val="single" w:sz="8" w:space="0" w:color="000000"/>
              <w:bottom w:val="single" w:sz="8" w:space="0" w:color="000000"/>
              <w:right w:val="single" w:sz="8" w:space="0" w:color="000000"/>
            </w:tcBorders>
            <w:tcMar>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646" w:type="dxa"/>
            <w:tcBorders>
              <w:bottom w:val="single" w:sz="8" w:space="0" w:color="000000"/>
              <w:right w:val="single" w:sz="8" w:space="0" w:color="000000"/>
            </w:tcBorders>
            <w:tcMar>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100" w:after="100"/>
        <w:ind w:left="0" w:right="0" w:firstLine="72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0" w:after="0"/>
        <w:ind w:left="0" w:right="30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0" w:name="_1e4cbb86_eb45_4e60_9fe4_b3640a61f9f6"/>
      <w:bookmarkEnd w:id="20"/>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lineRule="auto" w:line="328" w:before="0" w:after="0"/>
        <w:ind w:left="0" w:right="302" w:firstLine="648"/>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5296" w:type="dxa"/>
        <w:jc w:val="left"/>
        <w:tblInd w:w="0" w:type="dxa"/>
        <w:tblLayout w:type="fixed"/>
        <w:tblCellMar>
          <w:top w:w="0" w:type="dxa"/>
          <w:left w:w="0" w:type="dxa"/>
          <w:bottom w:w="0" w:type="dxa"/>
          <w:right w:w="0" w:type="dxa"/>
        </w:tblCellMar>
      </w:tblPr>
      <w:tblGrid>
        <w:gridCol w:w="1951"/>
        <w:gridCol w:w="562"/>
        <w:gridCol w:w="2783"/>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38885" cy="29210"/>
                      <wp:effectExtent l="0" t="0" r="0" b="0"/>
                      <wp:wrapNone/>
                      <wp:docPr id="1" name="Frame1"/>
                      <a:graphic xmlns:a="http://schemas.openxmlformats.org/drawingml/2006/main">
                        <a:graphicData uri="http://schemas.microsoft.com/office/word/2010/wordprocessingShape">
                          <wps:wsp>
                            <wps:cNvSpPr txBox="1"/>
                            <wps:spPr>
                              <a:xfrm>
                                <a:off x="0" y="0"/>
                                <a:ext cx="1238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56870" cy="29210"/>
                      <wp:effectExtent l="0" t="0" r="0" b="0"/>
                      <wp:wrapNone/>
                      <wp:docPr id="2" name="Frame2"/>
                      <a:graphic xmlns:a="http://schemas.openxmlformats.org/drawingml/2006/main">
                        <a:graphicData uri="http://schemas.microsoft.com/office/word/2010/wordprocessingShape">
                          <wps:wsp>
                            <wps:cNvSpPr txBox="1"/>
                            <wps:spPr>
                              <a:xfrm>
                                <a:off x="0" y="0"/>
                                <a:ext cx="3568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67205" cy="29210"/>
                      <wp:effectExtent l="0" t="0" r="0" b="0"/>
                      <wp:wrapNone/>
                      <wp:docPr id="3" name="Frame3"/>
                      <a:graphic xmlns:a="http://schemas.openxmlformats.org/drawingml/2006/main">
                        <a:graphicData uri="http://schemas.microsoft.com/office/word/2010/wordprocessingShape">
                          <wps:wsp>
                            <wps:cNvSpPr txBox="1"/>
                            <wps:spPr>
                              <a:xfrm>
                                <a:off x="0" y="0"/>
                                <a:ext cx="17672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 </w:t>
            </w:r>
          </w:p>
        </w:tc>
        <w:tc>
          <w:tcPr>
            <w:tcW w:w="33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w:t>
            </w:r>
          </w:p>
        </w:tc>
      </w:tr>
      <w:tr>
        <w:trPr/>
        <w:tc>
          <w:tcPr>
            <w:tcW w:w="1951" w:type="dxa"/>
            <w:tcBorders/>
            <w:vAlign w:val="center"/>
          </w:tcPr>
          <w:p>
            <w:pPr>
              <w:pStyle w:val="TableContents"/>
              <w:bidi w:val="0"/>
              <w:spacing w:before="0" w:after="0"/>
              <w:ind w:left="0" w:right="0" w:hanging="0"/>
              <w:jc w:val="left"/>
              <w:rPr/>
            </w:pPr>
            <w:r>
              <w:rPr/>
              <w:t> </w:t>
            </w:r>
          </w:p>
        </w:tc>
        <w:tc>
          <w:tcPr>
            <w:tcW w:w="3345" w:type="dxa"/>
            <w:gridSpan w:val="2"/>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3345" w:type="dxa"/>
            <w:gridSpan w:val="2"/>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83"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Ian Shaw</w:t>
            </w:r>
          </w:p>
        </w:tc>
      </w:tr>
      <w:tr>
        <w:trPr/>
        <w:tc>
          <w:tcPr>
            <w:tcW w:w="1951"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left"/>
              <w:rPr/>
            </w:pPr>
            <w:r>
              <w:rPr/>
              <w:t> </w:t>
            </w:r>
          </w:p>
        </w:tc>
        <w:tc>
          <w:tcPr>
            <w:tcW w:w="2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1951"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left"/>
              <w:rPr/>
            </w:pPr>
            <w:r>
              <w:rPr/>
              <w:t> </w:t>
            </w:r>
          </w:p>
        </w:tc>
        <w:tc>
          <w:tcPr>
            <w:tcW w:w="2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100" w:after="100"/>
        <w:ind w:left="0" w:right="0" w:hanging="0"/>
        <w:jc w:val="right"/>
        <w:rPr/>
      </w:pPr>
      <w:r>
        <w:rPr/>
        <w:t>​</w:t>
      </w:r>
    </w:p>
    <w:p>
      <w:pPr>
        <w:pStyle w:val="TextBody"/>
        <w:bidi w:val="0"/>
        <w:spacing w:before="280" w:after="0"/>
        <w:ind w:left="0" w:right="0" w:hanging="0"/>
        <w:jc w:val="righ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lineRule="auto" w:line="285" w:before="0" w:after="0"/>
        <w:ind w:left="0" w:right="0" w:hanging="0"/>
        <w:jc w:val="left"/>
        <w:rPr/>
      </w:pPr>
      <w:bookmarkStart w:id="21" w:name="dwsn-20260813xex99d1.htm"/>
      <w:bookmarkStart w:id="22" w:name="ksdwsn20260813xex99d1"/>
      <w:bookmarkEnd w:id="21"/>
      <w:bookmarkEnd w:id="22"/>
      <w:r>
        <w:rPr/>
        <w:t>​</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lineRule="auto" w:line="285" w:before="0" w:after="0"/>
        <w:ind w:left="0" w:right="0" w:hanging="0"/>
        <w:jc w:val="left"/>
        <w:rPr/>
      </w:pPr>
      <w:r>
        <w:rPr/>
        <w:t>​</w:t>
      </w:r>
    </w:p>
    <w:tbl>
      <w:tblPr>
        <w:tblW w:w="5326" w:type="dxa"/>
        <w:jc w:val="left"/>
        <w:tblInd w:w="0" w:type="dxa"/>
        <w:tblLayout w:type="fixed"/>
        <w:tblCellMar>
          <w:top w:w="0" w:type="dxa"/>
          <w:left w:w="0" w:type="dxa"/>
          <w:bottom w:w="0" w:type="dxa"/>
          <w:right w:w="0" w:type="dxa"/>
        </w:tblCellMar>
      </w:tblPr>
      <w:tblGrid>
        <w:gridCol w:w="2671"/>
        <w:gridCol w:w="1250"/>
        <w:gridCol w:w="1251"/>
        <w:gridCol w:w="154"/>
      </w:tblGrid>
      <w:tr>
        <w:trPr/>
        <w:tc>
          <w:tcPr>
            <w:tcW w:w="3921" w:type="dxa"/>
            <w:gridSpan w:val="2"/>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1405" w:type="dxa"/>
            <w:gridSpan w:val="2"/>
            <w:tcBorders/>
            <w:vAlign w:val="center"/>
          </w:tcPr>
          <w:p>
            <w:pPr>
              <w:pStyle w:val="TableContents"/>
              <w:bidi w:val="0"/>
              <w:spacing w:lineRule="auto" w:line="285" w:before="0" w:after="0"/>
              <w:ind w:left="0" w:right="0" w:hanging="0"/>
              <w:jc w:val="left"/>
              <w:rPr/>
            </w:pPr>
            <w:r>
              <w:rPr/>
              <w:t>​</w:t>
            </w:r>
          </w:p>
        </w:tc>
      </w:tr>
      <w:tr>
        <w:trPr/>
        <w:tc>
          <w:tcPr>
            <w:tcW w:w="2671" w:type="dxa"/>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NEWS RELEASE</w:t>
            </w:r>
          </w:p>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w:t>
            </w:r>
          </w:p>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508 W. Wall, Suite 800 </w:t>
            </w:r>
          </w:p>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Midland, TX 79701 </w:t>
            </w:r>
          </w:p>
        </w:tc>
        <w:tc>
          <w:tcPr>
            <w:tcW w:w="2501" w:type="dxa"/>
            <w:gridSpan w:val="2"/>
            <w:tcBorders/>
            <w:vAlign w:val="center"/>
          </w:tcPr>
          <w:p>
            <w:pPr>
              <w:pStyle w:val="TableContents"/>
              <w:bidi w:val="0"/>
              <w:spacing w:lineRule="auto" w:line="328" w:before="0" w:after="0"/>
              <w:ind w:left="0" w:right="0" w:hanging="0"/>
              <w:jc w:val="right"/>
              <w:rPr/>
            </w:pPr>
            <w:r>
              <w:rPr/>
              <w:drawing>
                <wp:inline distT="0" distB="0" distL="0" distR="0">
                  <wp:extent cx="1533525" cy="7905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33525" cy="790575"/>
                          </a:xfrm>
                          <a:prstGeom prst="rect">
                            <a:avLst/>
                          </a:prstGeom>
                        </pic:spPr>
                      </pic:pic>
                    </a:graphicData>
                  </a:graphic>
                </wp:inline>
              </w:drawing>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Company contact:</w:t>
      </w:r>
    </w:p>
    <w:tbl>
      <w:tblPr>
        <w:tblW w:w="2851" w:type="dxa"/>
        <w:jc w:val="center"/>
        <w:tblInd w:w="0" w:type="dxa"/>
        <w:tblLayout w:type="fixed"/>
        <w:tblCellMar>
          <w:top w:w="0" w:type="dxa"/>
          <w:left w:w="0" w:type="dxa"/>
          <w:bottom w:w="0" w:type="dxa"/>
          <w:right w:w="0" w:type="dxa"/>
        </w:tblCellMar>
      </w:tblPr>
      <w:tblGrid>
        <w:gridCol w:w="2851"/>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Tony Clark, CEO and President</w:t>
            </w:r>
          </w:p>
        </w:tc>
      </w:tr>
      <w:tr>
        <w:trPr/>
        <w:tc>
          <w:tcPr>
            <w:tcW w:w="285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Ian Shaw, Chief Financial Officer</w:t>
            </w:r>
          </w:p>
        </w:tc>
      </w:tr>
      <w:tr>
        <w:trPr/>
        <w:tc>
          <w:tcPr>
            <w:tcW w:w="285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(800) 332-9766</w:t>
            </w:r>
          </w:p>
        </w:tc>
      </w:tr>
      <w:tr>
        <w:trPr/>
        <w:tc>
          <w:tcPr>
            <w:tcW w:w="285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www.dawson3d.com</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DAWSON GEOPHYSICAL REPORTS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SECOND QUARTER 2026 RESULTS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MIDLAND, Texas, August 13, 2026/PR Newswire/Dawson Geophysical Company (NASDAQ: DWSN) (the “Company”) today reported </w:t>
      </w:r>
      <w:r>
        <w:rPr>
          <w:rFonts w:ascii="Times New Roman" w:hAnsi="Times New Roman"/>
          <w:sz w:val="20"/>
        </w:rPr>
        <w:t>unaudited financial results for its second quarter ended June 30, 2026.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font-weight:bold" w:hAnsi="Times New Roman;font-weight:bold"/>
          <w:b/>
          <w:sz w:val="20"/>
        </w:rPr>
      </w:pPr>
      <w:r>
        <w:rPr>
          <w:rFonts w:ascii="Times New Roman;font-weight:bold" w:hAnsi="Times New Roman;font-weight:bold"/>
          <w:b/>
          <w:sz w:val="20"/>
        </w:rPr>
        <w:t>Second quarter 2026 Highlights</w:t>
      </w:r>
    </w:p>
    <w:p>
      <w:pPr>
        <w:pStyle w:val="TextBody"/>
        <w:bidi w:val="0"/>
        <w:spacing w:lineRule="auto" w:line="285" w:before="0" w:after="0"/>
        <w:ind w:left="0" w:right="0" w:hanging="0"/>
        <w:jc w:val="left"/>
        <w:rPr/>
      </w:pPr>
      <w:r>
        <w:rPr/>
        <w:t>​</w:t>
      </w:r>
    </w:p>
    <w:tbl>
      <w:tblPr>
        <w:tblW w:w="7293" w:type="dxa"/>
        <w:jc w:val="left"/>
        <w:tblInd w:w="0" w:type="dxa"/>
        <w:tblLayout w:type="fixed"/>
        <w:tblCellMar>
          <w:top w:w="0" w:type="dxa"/>
          <w:left w:w="0" w:type="dxa"/>
          <w:bottom w:w="0" w:type="dxa"/>
          <w:right w:w="0" w:type="dxa"/>
        </w:tblCellMar>
      </w:tblPr>
      <w:tblGrid>
        <w:gridCol w:w="23"/>
        <w:gridCol w:w="170"/>
        <w:gridCol w:w="71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Recognized fee revenue of $14 million, a 60% increase over the second quarter of 2025</w:t>
            </w:r>
          </w:p>
        </w:tc>
      </w:tr>
    </w:tbl>
    <w:tbl>
      <w:tblPr>
        <w:tblW w:w="8178" w:type="dxa"/>
        <w:jc w:val="left"/>
        <w:tblInd w:w="0" w:type="dxa"/>
        <w:tblLayout w:type="fixed"/>
        <w:tblCellMar>
          <w:top w:w="0" w:type="dxa"/>
          <w:left w:w="0" w:type="dxa"/>
          <w:bottom w:w="0" w:type="dxa"/>
          <w:right w:w="0" w:type="dxa"/>
        </w:tblCellMar>
      </w:tblPr>
      <w:tblGrid>
        <w:gridCol w:w="23"/>
        <w:gridCol w:w="170"/>
        <w:gridCol w:w="79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of $3.4 million, $0.11 per share, which included $1.7 million of strategic transaction costs</w:t>
            </w:r>
          </w:p>
        </w:tc>
      </w:tr>
    </w:tbl>
    <w:tbl>
      <w:tblPr>
        <w:tblW w:w="9108" w:type="dxa"/>
        <w:jc w:val="left"/>
        <w:tblInd w:w="0" w:type="dxa"/>
        <w:tblLayout w:type="fixed"/>
        <w:tblCellMar>
          <w:top w:w="0" w:type="dxa"/>
          <w:left w:w="0" w:type="dxa"/>
          <w:bottom w:w="0" w:type="dxa"/>
          <w:right w:w="0" w:type="dxa"/>
        </w:tblCellMar>
      </w:tblPr>
      <w:tblGrid>
        <w:gridCol w:w="23"/>
        <w:gridCol w:w="170"/>
        <w:gridCol w:w="8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Generated Adjusted EBITDA of $0.6 million, an improvement of $1.8 million over the second quarter of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Fourth consecutive quarter of positive Adjusted EBITDA, for the first time since the three months ended September 30, 2018 </w:t>
            </w:r>
          </w:p>
        </w:tc>
      </w:tr>
    </w:tbl>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font-weight:bold" w:hAnsi="Times New Roman;font-weight:bold"/>
          <w:b/>
          <w:sz w:val="20"/>
        </w:rPr>
      </w:pPr>
      <w:r>
        <w:rPr>
          <w:rFonts w:ascii="Times New Roman;font-weight:bold" w:hAnsi="Times New Roman;font-weight:bold"/>
          <w:b/>
          <w:sz w:val="20"/>
        </w:rPr>
        <w:t>Year-to-Date 2026 Highlights</w:t>
      </w:r>
    </w:p>
    <w:p>
      <w:pPr>
        <w:pStyle w:val="TextBody"/>
        <w:bidi w:val="0"/>
        <w:spacing w:lineRule="auto" w:line="285" w:before="0" w:after="0"/>
        <w:ind w:left="0" w:right="0" w:hanging="0"/>
        <w:jc w:val="left"/>
        <w:rPr/>
      </w:pPr>
      <w:r>
        <w:rPr/>
        <w:t>​</w:t>
      </w:r>
    </w:p>
    <w:tbl>
      <w:tblPr>
        <w:tblW w:w="3738" w:type="dxa"/>
        <w:jc w:val="left"/>
        <w:tblInd w:w="0" w:type="dxa"/>
        <w:tblLayout w:type="fixed"/>
        <w:tblCellMar>
          <w:top w:w="0" w:type="dxa"/>
          <w:left w:w="0" w:type="dxa"/>
          <w:bottom w:w="0" w:type="dxa"/>
          <w:right w:w="0" w:type="dxa"/>
        </w:tblCellMar>
      </w:tblPr>
      <w:tblGrid>
        <w:gridCol w:w="23"/>
        <w:gridCol w:w="170"/>
        <w:gridCol w:w="3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fee revenue 94% to $46.5 million</w:t>
            </w:r>
          </w:p>
        </w:tc>
      </w:tr>
    </w:tbl>
    <w:tbl>
      <w:tblPr>
        <w:tblW w:w="8463" w:type="dxa"/>
        <w:jc w:val="left"/>
        <w:tblInd w:w="0" w:type="dxa"/>
        <w:tblLayout w:type="fixed"/>
        <w:tblCellMar>
          <w:top w:w="0" w:type="dxa"/>
          <w:left w:w="0" w:type="dxa"/>
          <w:bottom w:w="0" w:type="dxa"/>
          <w:right w:w="0" w:type="dxa"/>
        </w:tblCellMar>
      </w:tblPr>
      <w:tblGrid>
        <w:gridCol w:w="23"/>
        <w:gridCol w:w="170"/>
        <w:gridCol w:w="8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of $4.2 million, $0.14 per share, which included $2.4 million of strategic transaction costs</w:t>
            </w:r>
          </w:p>
        </w:tc>
      </w:tr>
    </w:tbl>
    <w:tbl>
      <w:tblPr>
        <w:tblW w:w="8808" w:type="dxa"/>
        <w:jc w:val="left"/>
        <w:tblInd w:w="0" w:type="dxa"/>
        <w:tblLayout w:type="fixed"/>
        <w:tblCellMar>
          <w:top w:w="0" w:type="dxa"/>
          <w:left w:w="0" w:type="dxa"/>
          <w:bottom w:w="0" w:type="dxa"/>
          <w:right w:w="0" w:type="dxa"/>
        </w:tblCellMar>
      </w:tblPr>
      <w:tblGrid>
        <w:gridCol w:w="23"/>
        <w:gridCol w:w="170"/>
        <w:gridCol w:w="86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Generated Adjusted EBITDA of $11.5 million, an 875% increase over the six months ended June 30, 2025</w:t>
            </w:r>
          </w:p>
        </w:tc>
      </w:tr>
    </w:tbl>
    <w:p>
      <w:pPr>
        <w:pStyle w:val="TextBody"/>
        <w:bidi w:val="0"/>
        <w:spacing w:lineRule="auto" w:line="285" w:before="100" w:after="10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i/>
          <w:sz w:val="20"/>
        </w:rPr>
        <w:t xml:space="preserve">Adjusted </w:t>
      </w:r>
      <w:r>
        <w:rPr>
          <w:rFonts w:ascii="Times New Roman;Times;serif" w:hAnsi="Times New Roman;Times;serif"/>
          <w:sz w:val="20"/>
        </w:rPr>
        <w:t xml:space="preserve">EBITDA </w:t>
      </w:r>
      <w:r>
        <w:rPr>
          <w:rFonts w:ascii="Times New Roman;Times;serif" w:hAnsi="Times New Roman;Times;serif"/>
          <w:i/>
          <w:sz w:val="20"/>
        </w:rPr>
        <w:t>is a non-GAAP financial measure. See “Non-GAAP Financial Measures” below for our definition and reconciliation of Adjusted EBITDA.</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Management Comment</w:t>
      </w:r>
    </w:p>
    <w:p>
      <w:pPr>
        <w:pStyle w:val="TextBody"/>
        <w:bidi w:val="0"/>
        <w:spacing w:lineRule="auto" w:line="285" w:before="100" w:after="10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Tony Clark, Dawson’s President and CEO, commented, “Approximately a year ago, we made a significant capital investment to position this Company to have a competitive advantage in the market for providing seismic data acquisition services with high channel count parameters. Since then, we have improved our revenues, margins, profitability and cash-flows. This equipment is still new to us, and we are continuing to identify areas of improvement in the deployment of the new single node channels, which we expect will result in further operational efficiencies. Additionally, we are investing in compute power to improve the speed of getting our data from the field to our customers. At the end of the second quarter, we started a high-density channel count job, based upon the degree of success we believe will increase the demand for seismic data acquisition services. We believe that if we can provide better data to our customers and improve the speed with which they can benefit from that data, we will continue to increase our competitive advantage and improve our profitability.”</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Second Quarter and Year-to-Date Results</w:t>
      </w:r>
    </w:p>
    <w:p>
      <w:pPr>
        <w:pStyle w:val="TextBody"/>
        <w:bidi w:val="0"/>
        <w:spacing w:lineRule="auto" w:line="285" w:before="100" w:after="10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For the second quarter ended June 30, 2026, the Company reported revenues of $17.9 million, an increase of 82% compared to $9.9 million for the comparable quarter ended June 30, 2025. Revenue included reimbursable revenue of $3.9 million and $1.1 million for the quarters ended June 30, 2026, and June 30, 2025, respectively. Gross margin</w:t>
      </w:r>
      <w:r>
        <w:rPr>
          <w:rFonts w:ascii="Times New Roman;Times;serif" w:hAnsi="Times New Roman;Times;serif"/>
          <w:sz w:val="15"/>
        </w:rPr>
        <w:t>1</w:t>
      </w:r>
      <w:r>
        <w:rPr>
          <w:rFonts w:ascii="Times New Roman;Times;serif" w:hAnsi="Times New Roman;Times;serif"/>
          <w:sz w:val="20"/>
        </w:rPr>
        <w:t xml:space="preserve"> for the quarter ended June 30, 2026, was 19% compared to 13% for the comparable quarter ended June 30, 2026. </w:t>
      </w:r>
    </w:p>
    <w:p>
      <w:pPr>
        <w:pStyle w:val="TextBody"/>
        <w:bidi w:val="0"/>
        <w:spacing w:lineRule="auto" w:line="285" w:before="100" w:after="10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 xml:space="preserve">We incurred a net loss of $3.4 million or $0.11 per common share and generated Adjusted EBITDA of $0.6 million in the quarter ended June 30, 2026, compared to negative Adjusted EBITDA of $1.2 million in the quarter ended June 30, 2025. </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we generated net income of $4.2 million or $0.14 per common share compared to a net loss of $1.4 million or $0.04 per common share for the same period of 2025. For the six months ended June 30, 2026, we generated Adjusted EBITDA of $11.5 million, compared to Adjusted EBITDA of $1.2 million in the same period of 2025.</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Operations Update</w:t>
      </w:r>
    </w:p>
    <w:p>
      <w:pPr>
        <w:pStyle w:val="TextBody"/>
        <w:bidi w:val="0"/>
        <w:spacing w:lineRule="auto" w:line="285" w:before="100" w:after="10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completed two large channel crew jobs during the quarter and had two smaller channel crews operating in the second quarter in the United States. At the end of the quarter, we started a high-density channel count job, deploying 70,000 single node channels over a concentrated area. The high-density channel count combined with our new single node channels is expected to provide significant improvement in the resolution of the seismic data provided by our services. If this test is successful, we expect the demand for other high-density seismic acquisition services to increase significantly. </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seasonal operations in Canada halted in April but are expected to resume in the fourth quarter of 2026. We are already seeing increased bid activity for larger channel count jobs in the Canadian market for the fourth quarter of 2026 and into 2027. </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We continue to schedule and bid larger channel count jobs due to our significant inventory of the new single node channels. Additionally, we have seen an increase in activity related to non-traditional seismic exploration including geothermal Carbon Capture Utilization and Storage (“CCUS”) seismic monitoring, and other rare minerals.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Capital Budget and Liquidity </w:t>
      </w:r>
    </w:p>
    <w:p>
      <w:pPr>
        <w:pStyle w:val="TextBody"/>
        <w:bidi w:val="0"/>
        <w:spacing w:lineRule="auto" w:line="285" w:before="100" w:after="10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Board of Directors approved a capital budget of $3 million for 2026, including the final payment under the single node purchase of $0.9 million, which was made in January 2026. </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2026, our cash position was $5.8 million, our working capital deficit was $2.9 million, compared to a deficit of $5 million at December 31, 2025, and our credit facility had no balance outstanding with a borrowing base of $4.1 million. We believe that our cash on hand, operating cash flows and cash available under our revolving credit facility are sufficient to fund our cash flow requirements as well as our debt obligations. </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About Dawson</w:t>
      </w:r>
    </w:p>
    <w:p>
      <w:pPr>
        <w:pStyle w:val="TextBody"/>
        <w:bidi w:val="0"/>
        <w:spacing w:lineRule="auto" w:line="285" w:before="0" w:after="0"/>
        <w:ind w:left="0" w:right="0" w:hanging="0"/>
        <w:jc w:val="left"/>
        <w:rPr/>
      </w:pPr>
      <w:r>
        <w:rPr/>
        <w:t> </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 xml:space="preserve">Dawson Geophysical Company is a leading provider of North American onshore seismic data acquisition services with operations throughout the continental United States and Canada. Dawson acquires and processes 2-D, 3-D and multi-component seismic data solely for its clients, ranging from major oil and gas companies to independent oil and gas operators, critical mineral and other non-traditional operators as well as providers of multi-client data libraries.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Defined as fee revenues less fee operating expenses, divided by fee revenues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lineRule="auto" w:line="285" w:before="0" w:after="0"/>
        <w:ind w:left="0" w:right="0" w:hanging="0"/>
        <w:jc w:val="left"/>
        <w:rPr/>
      </w:pPr>
      <w:r>
        <w:rPr/>
        <w:t> </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In an effort to provide investors with additional information regarding the Company’s preliminary and unaudited results as determined by U.S. generally accepted accounting principles (“GAAP”), the Company has included in this press release information about the Company’s Adjusted EBITDA, a non-GAAP financial measure as defined by Regulation G promulgated by the U.S. Securities and Exchange Commission. The Company defines Adjusted EBITDA as our net income, before (i) interest expense, net, (ii) income tax expense or benefit, (iii) depreciation and amortization and (iv) non-recurring and other charges that we believe are not indicative of our core operating performance, such as strategic transaction costs. The Company uses Adjusted EBITDA as a supplemental financial measure to assess:</w:t>
      </w:r>
    </w:p>
    <w:tbl>
      <w:tblPr>
        <w:tblW w:w="10205" w:type="dxa"/>
        <w:jc w:val="left"/>
        <w:tblInd w:w="0" w:type="dxa"/>
        <w:tblLayout w:type="fixed"/>
        <w:tblCellMar>
          <w:top w:w="0" w:type="dxa"/>
          <w:left w:w="0" w:type="dxa"/>
          <w:bottom w:w="0" w:type="dxa"/>
          <w:right w:w="0" w:type="dxa"/>
        </w:tblCellMar>
      </w:tblPr>
      <w:tblGrid>
        <w:gridCol w:w="161"/>
        <w:gridCol w:w="196"/>
        <w:gridCol w:w="9848"/>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848"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328" w:before="0" w:after="0"/>
              <w:ind w:left="0" w:right="0" w:hanging="0"/>
              <w:jc w:val="left"/>
              <w:rPr/>
            </w:pPr>
            <w:r>
              <w:rPr/>
              <w:t> </w:t>
            </w:r>
          </w:p>
        </w:tc>
        <w:tc>
          <w:tcPr>
            <w:tcW w:w="196" w:type="dxa"/>
            <w:tcBorders/>
            <w:vAlign w:val="center"/>
          </w:tcPr>
          <w:p>
            <w:pPr>
              <w:pStyle w:val="TableContents"/>
              <w:bidi w:val="0"/>
              <w:spacing w:lineRule="auto" w:line="328" w:before="0" w:after="0"/>
              <w:ind w:left="0" w:right="0" w:hanging="0"/>
              <w:jc w:val="left"/>
              <w:rPr>
                <w:rFonts w:ascii="Symbol" w:hAnsi="Symbol"/>
                <w:sz w:val="20"/>
              </w:rPr>
            </w:pPr>
            <w:r>
              <w:rPr>
                <w:rFonts w:ascii="Symbol" w:hAnsi="Symbol"/>
                <w:sz w:val="20"/>
              </w:rPr>
              <w:t>·</w:t>
            </w:r>
          </w:p>
        </w:tc>
        <w:tc>
          <w:tcPr>
            <w:tcW w:w="984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financial performance of its assets without regard to financing methods, capital structures, taxes or historical cost basis;</w:t>
            </w:r>
          </w:p>
        </w:tc>
      </w:tr>
    </w:tbl>
    <w:p>
      <w:pPr>
        <w:pStyle w:val="TextBody"/>
        <w:bidi w:val="0"/>
        <w:spacing w:lineRule="auto" w:line="285"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1"/>
        <w:gridCol w:w="196"/>
        <w:gridCol w:w="9848"/>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848"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328" w:before="0" w:after="0"/>
              <w:ind w:left="0" w:right="0" w:hanging="0"/>
              <w:jc w:val="left"/>
              <w:rPr/>
            </w:pPr>
            <w:r>
              <w:rPr/>
              <w:t> </w:t>
            </w:r>
          </w:p>
        </w:tc>
        <w:tc>
          <w:tcPr>
            <w:tcW w:w="196" w:type="dxa"/>
            <w:tcBorders/>
            <w:vAlign w:val="center"/>
          </w:tcPr>
          <w:p>
            <w:pPr>
              <w:pStyle w:val="TableContents"/>
              <w:bidi w:val="0"/>
              <w:spacing w:lineRule="auto" w:line="328" w:before="0" w:after="0"/>
              <w:ind w:left="0" w:right="0" w:hanging="0"/>
              <w:jc w:val="left"/>
              <w:rPr>
                <w:rFonts w:ascii="Symbol" w:hAnsi="Symbol"/>
                <w:sz w:val="20"/>
              </w:rPr>
            </w:pPr>
            <w:r>
              <w:rPr>
                <w:rFonts w:ascii="Symbol" w:hAnsi="Symbol"/>
                <w:sz w:val="20"/>
              </w:rPr>
              <w:t>·</w:t>
            </w:r>
          </w:p>
        </w:tc>
        <w:tc>
          <w:tcPr>
            <w:tcW w:w="9848"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its liquidity and operating performance over time in relation to other companies that own similar assets and that the Company believes calculate Adjusted EBITDA in a similar manner; and</w:t>
            </w:r>
          </w:p>
        </w:tc>
      </w:tr>
    </w:tbl>
    <w:p>
      <w:pPr>
        <w:pStyle w:val="TextBody"/>
        <w:bidi w:val="0"/>
        <w:spacing w:lineRule="auto" w:line="285" w:before="0" w:after="0"/>
        <w:ind w:left="0" w:right="0" w:hanging="0"/>
        <w:jc w:val="left"/>
        <w:rPr/>
      </w:pPr>
      <w:r>
        <w:rPr/>
        <w:t> </w:t>
      </w:r>
    </w:p>
    <w:tbl>
      <w:tblPr>
        <w:tblW w:w="9388" w:type="dxa"/>
        <w:jc w:val="left"/>
        <w:tblInd w:w="0" w:type="dxa"/>
        <w:tblLayout w:type="fixed"/>
        <w:tblCellMar>
          <w:top w:w="0" w:type="dxa"/>
          <w:left w:w="0" w:type="dxa"/>
          <w:bottom w:w="0" w:type="dxa"/>
          <w:right w:w="0" w:type="dxa"/>
        </w:tblCellMar>
      </w:tblPr>
      <w:tblGrid>
        <w:gridCol w:w="161"/>
        <w:gridCol w:w="196"/>
        <w:gridCol w:w="903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03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328" w:before="0" w:after="0"/>
              <w:ind w:left="0" w:right="0" w:hanging="0"/>
              <w:jc w:val="left"/>
              <w:rPr/>
            </w:pPr>
            <w:r>
              <w:rPr/>
              <w:t> </w:t>
            </w:r>
          </w:p>
        </w:tc>
        <w:tc>
          <w:tcPr>
            <w:tcW w:w="196" w:type="dxa"/>
            <w:tcBorders/>
            <w:vAlign w:val="center"/>
          </w:tcPr>
          <w:p>
            <w:pPr>
              <w:pStyle w:val="TableContents"/>
              <w:bidi w:val="0"/>
              <w:spacing w:lineRule="auto" w:line="328" w:before="0" w:after="0"/>
              <w:ind w:left="0" w:right="0" w:hanging="0"/>
              <w:jc w:val="left"/>
              <w:rPr>
                <w:rFonts w:ascii="Symbol" w:hAnsi="Symbol"/>
                <w:sz w:val="20"/>
              </w:rPr>
            </w:pPr>
            <w:r>
              <w:rPr>
                <w:rFonts w:ascii="Symbol" w:hAnsi="Symbol"/>
                <w:sz w:val="20"/>
              </w:rPr>
              <w:t>·</w:t>
            </w:r>
          </w:p>
        </w:tc>
        <w:tc>
          <w:tcPr>
            <w:tcW w:w="90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the ability of the Company’s assets to generate cash sufficient for the Company to pay potential interest costs.</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pPr>
      <w:r>
        <w:rPr/>
        <w:t> </w:t>
      </w:r>
      <w:r>
        <w:rPr>
          <w:rFonts w:ascii="Times New Roman;Times;serif" w:hAnsi="Times New Roman;Times;serif"/>
          <w:sz w:val="20"/>
        </w:rPr>
        <w:t>The Company also understands that such data are used by investors to assess the Company’s performance. However, the term Adjusted EBITDA is not defined under U.S. GAAP, and Adjusted EBITDA is not a measure of operating income or operating performance presented in accordance with GAAP. When assessing the Company’s operating performance, investors and others should not consider this data in isolation or as a substitute for net income, the most directly comparable GAAP financial measure, cash flow from operating activities or other cash flow data calculated in accordance with GAAP. In addition, the Company may modify how we calculate Adjusted EBITDA, and our use of Adjusted EBITDA may not be comparable to Adjusted EBITDA or similarly titled measures utilized by other companies since other companies may not calculate Adjusted EBITDA in the same manner as the Company. Further, the results presented by Adjusted EBITDA cannot be achieved without incurring the costs that the measure excludes: interest, taxes, and depreciation and amortization. A reconciliation of the Company’s Adjusted EBITDA to its net loss is presented in the table following the text of this press release.</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Discussions with Controlling Stockholder</w:t>
      </w:r>
    </w:p>
    <w:p>
      <w:pPr>
        <w:pStyle w:val="TextBody"/>
        <w:bidi w:val="0"/>
        <w:spacing w:lineRule="auto" w:line="285" w:before="100" w:after="10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As of June 30, 2026, Wilks Brothers, LLC (“Wilks”) and its affiliates control approximately 80% of our common stock. We have been in discussion with Wilks and certain of its affiliates with respect to one or more transactions involving assets owned by Wilks and/or certain of its affiliates, which may include, among other things, asset contributions or sales, a business combination transaction or other similar transactions. In connection with these discussions, the Company incurred approximately $1.7 million and $2.4 million in expenses for the three and six months ended June 30, 2026, respectively, which are included in general and administrative expense in our consolidated statements of operations.</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There is no guarantee that we will enter into a definitive agreement with any such parties regarding any such transaction. The terms of any potential agreement between us and Wilks, and/or any of its affiliates, would be contingent on certain conditions, including completion of due diligence and the negotiation of definitive transaction documents.  Our Board of Directors has formed a special committee of independent directors (the “Special Committee”), which has retained independent legal and financial advisors, to evaluate, negotiate and make recommendations to the Board regarding any such transaction with Wilks and/or its affiliates, including whether to pursue or decline to pursue any proposed transaction.</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In accordance with the Safe Harbor provisions of the Private Securities Litigation Reform Act of 1995, the Company cautions that all statements other than statements of historical fact contained in this press release are forward-looking statements, including without limitation statements regarding our forecasts, estimates or other expectations regarding future events, operations or financial results; statements regarding potential technological advancements and their potential impact on demand for the Company’s services; statements regarding the Company’s financial position,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business strategy, and plans and objectives of Company management, including statements under “Management Comment” regarding future operations; statements regarding our expectations regarding liquidity; statements regarding the anticipated benefits of our purchased single node channels; statements regarding our ability to identify areas of improvement in the deployment of the new single node channels and the expected operational efficiencies resulting therefrom; statements regarding the Company’s investment in compute power and the anticipated benefits to be derived therefrom for the Company and its customers; statements regarding our financial performance and our ability to capitalize on current market opportunities; and statements regarding any potential transaction(s) with our controlling stockholder and/or any of its affiliates. In some cases, you can identify forward-looking statements by terms such as “aim,” “may,” “will,” “should,” “expects,” “plans,” “anticipates,” “continues,” “could,” “intends,” “goals,” “target,” “projects,” “contemplates,” “believes,” “estimates,” “predicts” or “potential” or the negative of these terms or other similar expressions. These forward-looking statements speak only as of the date of this press release and, except as required by applicable law, the Company undertakes no obligation to publicly update or revise any forward-looking statements, whether as a result of any new information, future events or otherwise. Such forward-looking statements are based on the beliefs of Company management, as well as assumptions made by and information currently available to management. Actual results could differ materially from those contemplated by the forward-looking statements as a result of certain factors. These factors include, but are not limited to, risks relating to the Company’s ability to execute its business strategies and plans for growth; the efficacy of the purchased single node channels; the failure to operationalize the acquired equipment in a timely manner or at all; risks associated with the Company’s ability to finance the transaction contemplated by the purchase agreement to acquire such equipment; risks relating to the Company’s investment in compute power, including risks that the Company may not achieve the anticipated benefits of such investment; risks relating to any potential transaction(s) with the Company’s controlling stockholder and/or any of its affiliates, the impact on the Company’s stock price of any such potential transaction(s), the Company’s ability to consummate any such transaction, and the Company’s ability to achieve the anticipated benefits of any such potential transaction(s); the Company’s status as a controlled public company, which exempts the Company from certain corporate governance requirements; the limited market for the Company’s common stock; the impact of general economic, industry, market or political conditions, including tariffs; dependence upon energy industry spending; changes in exploration and production spending by the Company’s customers and changes in the level of oil and natural gas exploration and development; the results of operations and financial condition of the Company’s customers, particularly during extended periods of low prices for crude oil and natural gas; the volatility of oil and natural gas prices and markets; changes in economic conditions; surplus in the supply of oil and the ability of the Organization of the Petroleum Exporting Countries and its allies, collectively known as OPEC+, to agree on and comply with supply limitations; the potential for contract delays; reductions or cancellations of service contracts; limited number of customers; credit risk related to the Company’s customers; reduced utilization; high fixed costs of operations and high capital requirements; industry competition; external factors affecting the Company’s crews such as weather interruptions and inability to obtain land access rights of way; whether the Company enters into turnkey or day rate contracts; crew productivity; risks that the Company’s cash reserves, liquidity or capital resources may be insufficient;  risks associated with the identification of suitable acquisition candidates and the successful, efficient execution of acquisition transactions, the integration of any such acquisition candidates, the value of those acquisitions to the Company’s customers and shareholders, and the financing of such acquisitions; risks related to the Company’s indebtedness and compliance with covenants contained in the Company’s revolving credit note; the Company’s ability to execute its business strategies and plans for growth; the failure to operationalize the new single node channels in a timely manner or at all; the risk that expected improvements in deployment of the new single node channels may not result in anticipated operational efficiencies or improved operating and financial performance; disruptions in the global economy, including the Russian-Ukrainian conflict, the conflict in Iran, and the unrest in the Middle East, export controls and financial and economic sanctions imposed on certain industry sectors and parties as a result of the developments and broader consequences of the Russian-Ukrainian conflict, the Iran conflict, and the unrest in the Middle East-related activities, and whether or not a future transaction or other action occurs that causes the Company to be delisted from Nasdaq and no longer be required to make filings with the Securities and Exchange Commission (the “SEC”). The cautionary statements made in this press release should be read as applying to all related forward-looking statements wherever they appear in this press release. All subsequent written and oral forward-looking statements attributable to the Company or persons acting on the Company’s behalf are expressly qualified in their entirety by this paragraph. The Company disclaims any intention or obligation to revise any forward-looking statements, whether as a result of new information, future events or otherwise. A further list and description of risks, uncertainties and assumptions that could cause or contribute to differences in the Company’s future results include the cautionary statements described in Part I, Item 1A. Risk Factors in our Annual Report on Form 10-K for the year ended December 31, 2025 and in our subsequent periodic filings with the SEC. The Company qualifies all of its forward-looking statements by these cautionary statements.</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AND COMPREHENSIVE INCOME</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 and amounts in thousands, except share and per share data)</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4528"/>
        <w:gridCol w:w="196"/>
        <w:gridCol w:w="916"/>
        <w:gridCol w:w="346"/>
        <w:gridCol w:w="196"/>
        <w:gridCol w:w="916"/>
        <w:gridCol w:w="346"/>
        <w:gridCol w:w="196"/>
        <w:gridCol w:w="916"/>
        <w:gridCol w:w="346"/>
        <w:gridCol w:w="196"/>
        <w:gridCol w:w="916"/>
        <w:gridCol w:w="191"/>
      </w:tblGrid>
      <w:tr>
        <w:trPr/>
        <w:tc>
          <w:tcPr>
            <w:tcW w:w="4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875280" cy="175260"/>
                      <wp:effectExtent l="0" t="0" r="0" b="0"/>
                      <wp:wrapNone/>
                      <wp:docPr id="5" name="Frame4"/>
                      <a:graphic xmlns:a="http://schemas.openxmlformats.org/drawingml/2006/main">
                        <a:graphicData uri="http://schemas.microsoft.com/office/word/2010/wordprocessingShape">
                          <wps:wsp>
                            <wps:cNvSpPr txBox="1"/>
                            <wps:spPr>
                              <a:xfrm>
                                <a:off x="0" y="0"/>
                                <a:ext cx="28752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81660" cy="175260"/>
                      <wp:effectExtent l="0" t="0" r="0" b="0"/>
                      <wp:wrapNone/>
                      <wp:docPr id="7" name="Frame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81660" cy="175260"/>
                      <wp:effectExtent l="0" t="0" r="0" b="0"/>
                      <wp:wrapNone/>
                      <wp:docPr id="10" name="Frame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12" name="Frame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81660" cy="175260"/>
                      <wp:effectExtent l="0" t="0" r="0" b="0"/>
                      <wp:wrapNone/>
                      <wp:docPr id="13" name="Frame1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5"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81660" cy="175260"/>
                      <wp:effectExtent l="0" t="0" r="0" b="0"/>
                      <wp:wrapNone/>
                      <wp:docPr id="16" name="Frame1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1285" cy="175260"/>
                      <wp:effectExtent l="0" t="0" r="0" b="0"/>
                      <wp:wrapNone/>
                      <wp:docPr id="17" name="Frame1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257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46" w:type="dxa"/>
            <w:tcBorders/>
            <w:vAlign w:val="center"/>
          </w:tcPr>
          <w:p>
            <w:pPr>
              <w:pStyle w:val="TableContents"/>
              <w:bidi w:val="0"/>
              <w:spacing w:lineRule="auto" w:line="285" w:before="0" w:after="0"/>
              <w:ind w:left="0" w:right="0" w:hanging="0"/>
              <w:jc w:val="left"/>
              <w:rPr/>
            </w:pPr>
            <w:r>
              <w:rPr/>
              <w:t>​</w:t>
            </w:r>
          </w:p>
        </w:tc>
        <w:tc>
          <w:tcPr>
            <w:tcW w:w="257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14,006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8,735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46,514</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23,994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8,097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1,935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17,912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9,851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54,611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25,929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11,398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30,828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18,561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3,906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8,097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1,935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15,304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8,717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38,925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20,496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3,652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6,593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4,325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1,985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2,445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20,941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12,222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49,500</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27,266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(Loss) income from operations</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(3,029)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(2,371)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5,111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(1,337)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including related party</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(927)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(expense) income, net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(Loss) income before income tax</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(1,361)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tax (expense) benefit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Net (loss) income</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(1,357)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comprehensive income (loss):</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unrealized income (loss) on foreign currency translation</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Comprehensive (loss) income</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(3,355)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(1,872)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4,120</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Basic net (loss) income per share of common stock</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0.14</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Diluted net (loss) income per share of common stock</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0.14</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equivalent common shares outstanding</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31,052,871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30,986,929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31,052,855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30,985,212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equivalent common shares outstanding - assuming dilution</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31,052,871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30,986,929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31,137,963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30,985,212</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 and amounts in thousands, except share data)</w:t>
      </w:r>
    </w:p>
    <w:p>
      <w:pPr>
        <w:pStyle w:val="TextBody"/>
        <w:bidi w:val="0"/>
        <w:spacing w:lineRule="auto" w:line="285" w:before="0" w:after="0"/>
        <w:ind w:left="0" w:right="0" w:hanging="0"/>
        <w:jc w:val="left"/>
        <w:rPr/>
      </w:pPr>
      <w:r>
        <w:rPr/>
        <w:t>​</w:t>
      </w:r>
    </w:p>
    <w:tbl>
      <w:tblPr>
        <w:tblW w:w="9229" w:type="dxa"/>
        <w:jc w:val="left"/>
        <w:tblInd w:w="0" w:type="dxa"/>
        <w:tblLayout w:type="fixed"/>
        <w:tblCellMar>
          <w:top w:w="0" w:type="dxa"/>
          <w:left w:w="0" w:type="dxa"/>
          <w:bottom w:w="0" w:type="dxa"/>
          <w:right w:w="0" w:type="dxa"/>
        </w:tblCellMar>
      </w:tblPr>
      <w:tblGrid>
        <w:gridCol w:w="6436"/>
        <w:gridCol w:w="346"/>
        <w:gridCol w:w="196"/>
        <w:gridCol w:w="811"/>
        <w:gridCol w:w="109"/>
        <w:gridCol w:w="222"/>
        <w:gridCol w:w="918"/>
        <w:gridCol w:w="191"/>
      </w:tblGrid>
      <w:tr>
        <w:trPr/>
        <w:tc>
          <w:tcPr>
            <w:tcW w:w="6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086860" cy="175260"/>
                      <wp:effectExtent l="0" t="0" r="0" b="0"/>
                      <wp:wrapNone/>
                      <wp:docPr id="18" name="Frame17"/>
                      <a:graphic xmlns:a="http://schemas.openxmlformats.org/drawingml/2006/main">
                        <a:graphicData uri="http://schemas.microsoft.com/office/word/2010/wordprocessingShape">
                          <wps:wsp>
                            <wps:cNvSpPr txBox="1"/>
                            <wps:spPr>
                              <a:xfrm>
                                <a:off x="0" y="0"/>
                                <a:ext cx="4086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14985" cy="175260"/>
                      <wp:effectExtent l="0" t="0" r="0" b="0"/>
                      <wp:wrapNone/>
                      <wp:docPr id="21" name="Frame2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0970" cy="175260"/>
                      <wp:effectExtent l="0" t="0" r="0" b="0"/>
                      <wp:wrapNone/>
                      <wp:docPr id="23" name="Frame2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82930" cy="175260"/>
                      <wp:effectExtent l="0" t="0" r="0" b="0"/>
                      <wp:wrapNone/>
                      <wp:docPr id="24" name="Frame23"/>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285" cy="175260"/>
                      <wp:effectExtent l="0" t="0" r="0" b="0"/>
                      <wp:wrapNone/>
                      <wp:docPr id="25" name="Frame2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0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lineRule="auto" w:line="285"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4,907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Accounts receivable, net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7,317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22" w:type="dxa"/>
            <w:tcBorders/>
            <w:shd w:fill="CCEEFF" w:val="clear"/>
            <w:vAlign w:val="center"/>
          </w:tcPr>
          <w:p>
            <w:pPr>
              <w:pStyle w:val="TableContents"/>
              <w:bidi w:val="0"/>
              <w:spacing w:lineRule="auto" w:line="285" w:before="0" w:after="0"/>
              <w:ind w:left="0" w:right="0" w:hanging="0"/>
              <w:jc w:val="right"/>
              <w:rPr/>
            </w:pPr>
            <w:r>
              <w:rPr/>
              <w:t> </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9,389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7,077</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7,169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20,519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21,835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253,096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254,017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Less accumulated depreciation</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(221,372)</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(223,242)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31,724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30,775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lease right-of-use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2,729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Intangibles,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55,324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56,010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7,040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9,578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 </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Payroll costs and other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1,474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1,183</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5,341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7,477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maturities of notes payable and finance leases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7,255</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6,232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maturities of operating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23,460</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26,837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Long-term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 </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Notes payable and finance leases, net of current maturities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10,135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11,324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net of current maturities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1,675</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2,024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tax liabilities,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35,287</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40,202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Preferred stock-par value $1.00 per share; 4,000,000 shares authorized, none outstanding</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 </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Common stock-par value $0.01 per share; 35,000,000 shares authorized,</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31,055,618 and 31,052,840 shares issued and outstanding at June 30, 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and December 31, 2025, respectively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157,263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157,154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(135,339)</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(139,560)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(2,198)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(2,097)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20,037</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15,808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55,324</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56,010</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100" w:after="100"/>
        <w:ind w:left="0" w:right="0" w:hanging="0"/>
        <w:jc w:val="center"/>
        <w:rPr/>
      </w:pPr>
      <w:r>
        <w:rPr/>
        <w:t>​</w:t>
      </w:r>
    </w:p>
    <w:p>
      <w:pPr>
        <w:pStyle w:val="TextBody"/>
        <w:bidi w:val="0"/>
        <w:spacing w:lineRule="auto" w:line="285" w:before="100" w:after="10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 and amounts in thousands)</w:t>
      </w:r>
    </w:p>
    <w:tbl>
      <w:tblPr>
        <w:tblW w:w="9881" w:type="dxa"/>
        <w:jc w:val="left"/>
        <w:tblInd w:w="0" w:type="dxa"/>
        <w:tblLayout w:type="fixed"/>
        <w:tblCellMar>
          <w:top w:w="0" w:type="dxa"/>
          <w:left w:w="0" w:type="dxa"/>
          <w:bottom w:w="0" w:type="dxa"/>
          <w:right w:w="0" w:type="dxa"/>
        </w:tblCellMar>
      </w:tblPr>
      <w:tblGrid>
        <w:gridCol w:w="7066"/>
        <w:gridCol w:w="346"/>
        <w:gridCol w:w="223"/>
        <w:gridCol w:w="719"/>
        <w:gridCol w:w="394"/>
        <w:gridCol w:w="223"/>
        <w:gridCol w:w="719"/>
        <w:gridCol w:w="191"/>
      </w:tblGrid>
      <w:tr>
        <w:trPr/>
        <w:tc>
          <w:tcPr>
            <w:tcW w:w="7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486910" cy="175260"/>
                      <wp:effectExtent l="0" t="0" r="0" b="0"/>
                      <wp:wrapNone/>
                      <wp:docPr id="26" name="Frame25"/>
                      <a:graphic xmlns:a="http://schemas.openxmlformats.org/drawingml/2006/main">
                        <a:graphicData uri="http://schemas.microsoft.com/office/word/2010/wordprocessingShape">
                          <wps:wsp>
                            <wps:cNvSpPr txBox="1"/>
                            <wps:spPr>
                              <a:xfrm>
                                <a:off x="0" y="0"/>
                                <a:ext cx="4486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1605" cy="175260"/>
                      <wp:effectExtent l="0" t="0" r="0" b="0"/>
                      <wp:wrapNone/>
                      <wp:docPr id="28" name="Frame27"/>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56565" cy="175260"/>
                      <wp:effectExtent l="0" t="0" r="0" b="0"/>
                      <wp:wrapNone/>
                      <wp:docPr id="29" name="Frame28"/>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50190" cy="175260"/>
                      <wp:effectExtent l="0" t="0" r="0" b="0"/>
                      <wp:wrapNone/>
                      <wp:docPr id="30" name="Frame29"/>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1605" cy="175260"/>
                      <wp:effectExtent l="0" t="0" r="0" b="0"/>
                      <wp:wrapNone/>
                      <wp:docPr id="31" name="Frame3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56565" cy="175260"/>
                      <wp:effectExtent l="0" t="0" r="0" b="0"/>
                      <wp:wrapNone/>
                      <wp:docPr id="32" name="Frame31"/>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1285" cy="175260"/>
                      <wp:effectExtent l="0" t="0" r="0" b="0"/>
                      <wp:wrapNone/>
                      <wp:docPr id="33" name="Frame3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78" w:type="dxa"/>
            <w:gridSpan w:val="5"/>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1" w:after="1"/>
              <w:ind w:left="0" w:right="0" w:hanging="0"/>
              <w:jc w:val="left"/>
              <w:rPr/>
            </w:pPr>
            <w:r>
              <w:rPr/>
              <w:t>  ​ ​ ​</w:t>
            </w:r>
          </w:p>
        </w:tc>
        <w:tc>
          <w:tcPr>
            <w:tcW w:w="942"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94" w:type="dxa"/>
            <w:tcBorders/>
            <w:vAlign w:val="center"/>
          </w:tcPr>
          <w:p>
            <w:pPr>
              <w:pStyle w:val="TableContents"/>
              <w:bidi w:val="0"/>
              <w:spacing w:lineRule="auto" w:line="285" w:before="1" w:after="1"/>
              <w:ind w:left="0" w:right="0" w:hanging="0"/>
              <w:jc w:val="left"/>
              <w:rPr/>
            </w:pPr>
            <w:r>
              <w:rPr/>
              <w:t>  ​ ​ ​</w:t>
            </w:r>
          </w:p>
        </w:tc>
        <w:tc>
          <w:tcPr>
            <w:tcW w:w="942"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1" w:type="dxa"/>
            <w:tcBorders/>
            <w:vAlign w:val="center"/>
          </w:tcPr>
          <w:p>
            <w:pPr>
              <w:pStyle w:val="TableContents"/>
              <w:bidi w:val="0"/>
              <w:spacing w:lineRule="auto" w:line="285" w:before="1" w:after="1"/>
              <w:ind w:left="0" w:right="0" w:hanging="0"/>
              <w:jc w:val="left"/>
              <w:rPr/>
            </w:pPr>
            <w:r>
              <w:rPr/>
              <w:t> </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4,221</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(1,357)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provided by 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lef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3,982</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1" w:after="1"/>
              <w:ind w:left="0" w:right="0" w:hanging="0"/>
              <w:jc w:val="left"/>
              <w:rPr/>
            </w:pPr>
            <w:r>
              <w:rPr/>
              <w:t> </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2,445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Non-cash operating lease cost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386</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504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Non-cash compensation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1" w:after="1"/>
              <w:ind w:left="0" w:right="0" w:hanging="0"/>
              <w:jc w:val="left"/>
              <w:rPr/>
            </w:pPr>
            <w:r>
              <w:rPr/>
              <w:t> </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116</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1" w:after="1"/>
              <w:ind w:left="0" w:right="0" w:hanging="0"/>
              <w:jc w:val="left"/>
              <w:rPr/>
            </w:pPr>
            <w:r>
              <w:rPr/>
              <w:t> </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87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Bad debt expense</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1" w:after="1"/>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177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Gain on disposal of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1" w:after="1"/>
              <w:ind w:left="0" w:right="0" w:hanging="0"/>
              <w:jc w:val="left"/>
              <w:rPr/>
            </w:pPr>
            <w:r>
              <w:rPr/>
              <w:t> </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(121)</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1" w:after="1"/>
              <w:ind w:left="0" w:right="0" w:hanging="0"/>
              <w:jc w:val="left"/>
              <w:rPr/>
            </w:pPr>
            <w:r>
              <w:rPr/>
              <w:t> </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(378)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pPr>
            <w:r>
              <w:rPr/>
              <w:t> </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pPr>
            <w:r>
              <w:rPr/>
              <w:t> </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Change in operating assets and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Decrease in accounts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pPr>
            <w:r>
              <w:rPr/>
              <w:t> </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1,964</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pPr>
            <w:r>
              <w:rPr/>
              <w:t> </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6,673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Decrease (increase) in contract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91</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(7,063)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Decrease in prepaid expenses and other assets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pPr>
            <w:r>
              <w:rPr/>
              <w:t> </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132</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pPr>
            <w:r>
              <w:rPr/>
              <w:t> </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322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Decrease in accounts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1" w:after="1"/>
              <w:ind w:left="0" w:right="0" w:hanging="0"/>
              <w:jc w:val="left"/>
              <w:rPr/>
            </w:pPr>
            <w:r>
              <w:rPr/>
              <w:t> </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(2,451)</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(439)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Increase (decrease) in accrued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394</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(171)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Decrease in operating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(529)</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(554)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Decrease (increase) in deferred revenue</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(2,137)</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16,365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pPr>
            <w:r>
              <w:rPr/>
              <w:t> </w:t>
            </w:r>
          </w:p>
        </w:tc>
        <w:tc>
          <w:tcPr>
            <w:tcW w:w="719"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5,998</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pPr>
            <w:r>
              <w:rPr/>
              <w:t> </w:t>
            </w:r>
          </w:p>
        </w:tc>
        <w:tc>
          <w:tcPr>
            <w:tcW w:w="719"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16,627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Capital expenditures, net of non-cash capital expenditures summarized below</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1" w:after="1"/>
              <w:ind w:left="0" w:right="0" w:hanging="0"/>
              <w:jc w:val="left"/>
              <w:rPr/>
            </w:pPr>
            <w:r>
              <w:rPr/>
              <w:t> </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(1,652)</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(683)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Proceeds from disposal of assets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156</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378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(1,496)</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(305)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Principal payments on notes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(3,025)</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(1,066)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Principal payments on finance leases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pPr>
            <w:r>
              <w:rPr/>
              <w:t> </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(613)</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(386)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Borrowings on related-party line of credit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6,250</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1" w:after="1"/>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Repayments on related-party line of credit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(6,250)</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1" w:after="1"/>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Tax withholdings related to stock based compensation awards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1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1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(3,645)</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(1,497)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Net increase in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1" w:after="1"/>
              <w:ind w:left="0" w:right="0" w:hanging="0"/>
              <w:jc w:val="left"/>
              <w:rPr/>
            </w:pPr>
            <w:r>
              <w:rPr/>
              <w:t> </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848</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1" w:after="1"/>
              <w:ind w:left="0" w:right="0" w:hanging="0"/>
              <w:jc w:val="left"/>
              <w:rPr/>
            </w:pPr>
            <w:r>
              <w:rPr/>
              <w:t> </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14,843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b/>
                <w:sz w:val="18"/>
              </w:rPr>
            </w:pPr>
            <w:r>
              <w:rPr>
                <w:rFonts w:ascii="Times New Roman;Times;serif" w:hAnsi="Times New Roman;Times;serif"/>
                <w:b/>
                <w:sz w:val="18"/>
              </w:rPr>
              <w:t>Cash and cash equivalents at beginning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4,907</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1,385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b/>
                <w:sz w:val="18"/>
              </w:rPr>
            </w:pPr>
            <w:r>
              <w:rPr>
                <w:rFonts w:ascii="Times New Roman;Times;serif" w:hAnsi="Times New Roman;Times;serif"/>
                <w:b/>
                <w:sz w:val="18"/>
              </w:rPr>
              <w:t>Cash and cash equivalents at end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5,755</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16,228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b/>
                <w:sz w:val="18"/>
              </w:rPr>
            </w:pPr>
            <w:r>
              <w:rPr>
                <w:rFonts w:ascii="Times New Roman;Times;serif" w:hAnsi="Times New Roman;Times;serif"/>
                <w:b/>
                <w:sz w:val="18"/>
              </w:rPr>
              <w:t>Supplemental cash flow information: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Cash paid for interest, including related-party amounts of $101 and $0, respectively (see Note 11) </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819</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128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b/>
                <w:sz w:val="18"/>
              </w:rPr>
            </w:pPr>
            <w:r>
              <w:rPr>
                <w:rFonts w:ascii="Times New Roman;Times;serif" w:hAnsi="Times New Roman;Times;serif"/>
                <w:b/>
                <w:sz w:val="18"/>
              </w:rPr>
              <w:t>Non-cash operating, investing and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Finance leases incurred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673</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shd w:fill="CCEEFF" w:val="clear"/>
            <w:vAlign w:val="center"/>
          </w:tcPr>
          <w:p>
            <w:pPr>
              <w:pStyle w:val="TableContents"/>
              <w:bidi w:val="0"/>
              <w:spacing w:lineRule="auto" w:line="285" w:before="1" w:after="1"/>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Increase in right-of-use assets and operating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106</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1" w:after="1"/>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Financed equipment purchases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2,698</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shd w:fill="CCEEFF" w:val="clear"/>
            <w:vAlign w:val="center"/>
          </w:tcPr>
          <w:p>
            <w:pPr>
              <w:pStyle w:val="TableContents"/>
              <w:bidi w:val="0"/>
              <w:spacing w:lineRule="auto" w:line="285" w:before="1" w:after="1"/>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Financed insurance premiums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128</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1,746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EBITDA to Net (Loss) Income</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lineRule="auto" w:line="285" w:before="0" w:after="0"/>
        <w:ind w:left="0" w:right="0" w:hanging="0"/>
        <w:jc w:val="left"/>
        <w:rPr/>
      </w:pPr>
      <w:r>
        <w:rPr/>
        <w:t>​</w:t>
      </w:r>
    </w:p>
    <w:tbl>
      <w:tblPr>
        <w:tblW w:w="8324" w:type="dxa"/>
        <w:jc w:val="left"/>
        <w:tblInd w:w="0" w:type="dxa"/>
        <w:tblLayout w:type="fixed"/>
        <w:tblCellMar>
          <w:top w:w="0" w:type="dxa"/>
          <w:left w:w="0" w:type="dxa"/>
          <w:bottom w:w="0" w:type="dxa"/>
          <w:right w:w="0" w:type="dxa"/>
        </w:tblCellMar>
      </w:tblPr>
      <w:tblGrid>
        <w:gridCol w:w="2236"/>
        <w:gridCol w:w="196"/>
        <w:gridCol w:w="631"/>
        <w:gridCol w:w="109"/>
        <w:gridCol w:w="196"/>
        <w:gridCol w:w="631"/>
        <w:gridCol w:w="109"/>
        <w:gridCol w:w="259"/>
        <w:gridCol w:w="836"/>
        <w:gridCol w:w="109"/>
        <w:gridCol w:w="196"/>
        <w:gridCol w:w="631"/>
        <w:gridCol w:w="109"/>
        <w:gridCol w:w="196"/>
        <w:gridCol w:w="631"/>
        <w:gridCol w:w="109"/>
        <w:gridCol w:w="256"/>
        <w:gridCol w:w="88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19860" cy="175260"/>
                      <wp:effectExtent l="0" t="0" r="0" b="0"/>
                      <wp:wrapNone/>
                      <wp:docPr id="34" name="Frame33"/>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00685" cy="175260"/>
                      <wp:effectExtent l="0" t="0" r="0" b="0"/>
                      <wp:wrapNone/>
                      <wp:docPr id="35" name="Frame3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00685" cy="175260"/>
                      <wp:effectExtent l="0" t="0" r="0" b="0"/>
                      <wp:wrapNone/>
                      <wp:docPr id="37" name="Frame3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8"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30860" cy="175260"/>
                      <wp:effectExtent l="0" t="0" r="0" b="0"/>
                      <wp:wrapNone/>
                      <wp:docPr id="39" name="Frame38"/>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00685" cy="175260"/>
                      <wp:effectExtent l="0" t="0" r="0" b="0"/>
                      <wp:wrapNone/>
                      <wp:docPr id="41" name="Frame4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00685" cy="175260"/>
                      <wp:effectExtent l="0" t="0" r="0" b="0"/>
                      <wp:wrapNone/>
                      <wp:docPr id="43" name="Frame4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4"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61340" cy="175260"/>
                      <wp:effectExtent l="0" t="0" r="0" b="0"/>
                      <wp:wrapNone/>
                      <wp:docPr id="45" name="Frame44"/>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6088"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 income</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(2,034)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(3,440)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(1,297)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(1,052)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(2,349)</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1,755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230</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1,985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981</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193</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1,174</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(1,046)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(1,159)</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expenses</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1,689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1,689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(1,159)</w:t>
            </w:r>
          </w:p>
        </w:tc>
      </w:tr>
    </w:tbl>
    <w:p>
      <w:pPr>
        <w:pStyle w:val="TextBody"/>
        <w:bidi w:val="0"/>
        <w:spacing w:lineRule="auto" w:line="285" w:before="0" w:after="0"/>
        <w:ind w:left="0" w:right="0" w:hanging="0"/>
        <w:jc w:val="left"/>
        <w:rPr/>
      </w:pPr>
      <w:r>
        <w:rPr/>
        <w:t>​</w:t>
      </w:r>
    </w:p>
    <w:tbl>
      <w:tblPr>
        <w:tblW w:w="8153" w:type="dxa"/>
        <w:jc w:val="left"/>
        <w:tblInd w:w="0" w:type="dxa"/>
        <w:tblLayout w:type="fixed"/>
        <w:tblCellMar>
          <w:top w:w="0" w:type="dxa"/>
          <w:left w:w="0" w:type="dxa"/>
          <w:bottom w:w="0" w:type="dxa"/>
          <w:right w:w="0" w:type="dxa"/>
        </w:tblCellMar>
      </w:tblPr>
      <w:tblGrid>
        <w:gridCol w:w="2236"/>
        <w:gridCol w:w="208"/>
        <w:gridCol w:w="542"/>
        <w:gridCol w:w="109"/>
        <w:gridCol w:w="216"/>
        <w:gridCol w:w="564"/>
        <w:gridCol w:w="109"/>
        <w:gridCol w:w="269"/>
        <w:gridCol w:w="826"/>
        <w:gridCol w:w="109"/>
        <w:gridCol w:w="196"/>
        <w:gridCol w:w="631"/>
        <w:gridCol w:w="109"/>
        <w:gridCol w:w="216"/>
        <w:gridCol w:w="564"/>
        <w:gridCol w:w="109"/>
        <w:gridCol w:w="256"/>
        <w:gridCol w:w="88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19860" cy="175260"/>
                      <wp:effectExtent l="0" t="0" r="0" b="0"/>
                      <wp:wrapNone/>
                      <wp:docPr id="46" name="Frame45"/>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44170" cy="175260"/>
                      <wp:effectExtent l="0" t="0" r="0" b="0"/>
                      <wp:wrapNone/>
                      <wp:docPr id="47" name="Frame46"/>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58140" cy="175260"/>
                      <wp:effectExtent l="0" t="0" r="0" b="0"/>
                      <wp:wrapNone/>
                      <wp:docPr id="49" name="Frame48"/>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50"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24510" cy="175260"/>
                      <wp:effectExtent l="0" t="0" r="0" b="0"/>
                      <wp:wrapNone/>
                      <wp:docPr id="51" name="Frame5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00685" cy="175260"/>
                      <wp:effectExtent l="0" t="0" r="0" b="0"/>
                      <wp:wrapNone/>
                      <wp:docPr id="53" name="Frame5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4"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58140" cy="175260"/>
                      <wp:effectExtent l="0" t="0" r="0" b="0"/>
                      <wp:wrapNone/>
                      <wp:docPr id="55" name="Frame54"/>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61340" cy="175260"/>
                      <wp:effectExtent l="0" t="0" r="0" b="0"/>
                      <wp:wrapNone/>
                      <wp:docPr id="57" name="Frame56"/>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5917"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3,979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4,221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(1,357)</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3,521</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461</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3,982</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2,058</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387</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2,445</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95</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20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4,647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9,114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4,885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1,179</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expenses</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2,384</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2,384</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pPr>
            <w:r>
              <w:rPr/>
              <w:t>—</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20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11,498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4,885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1,179</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EBITDA to Net Cash Provided By (Used in) Operating Activities</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(amounts in thousands)</w:t>
      </w:r>
      <w:r>
        <w:rPr>
          <w:rFonts w:ascii="Times New Roman;Times;serif" w:hAnsi="Times New Roman;Times;serif"/>
          <w:sz w:val="20"/>
        </w:rPr>
        <w:t xml:space="preserve"> </w:t>
      </w:r>
    </w:p>
    <w:p>
      <w:pPr>
        <w:pStyle w:val="TextBody"/>
        <w:bidi w:val="0"/>
        <w:spacing w:lineRule="auto" w:line="285" w:before="100" w:after="100"/>
        <w:ind w:left="0" w:right="0" w:hanging="0"/>
        <w:jc w:val="left"/>
        <w:rPr/>
      </w:pPr>
      <w:r>
        <w:rPr/>
        <w:t>​</w:t>
      </w:r>
    </w:p>
    <w:tbl>
      <w:tblPr>
        <w:tblW w:w="9764" w:type="dxa"/>
        <w:jc w:val="left"/>
        <w:tblInd w:w="0" w:type="dxa"/>
        <w:tblLayout w:type="fixed"/>
        <w:tblCellMar>
          <w:top w:w="0" w:type="dxa"/>
          <w:left w:w="0" w:type="dxa"/>
          <w:bottom w:w="0" w:type="dxa"/>
          <w:right w:w="0" w:type="dxa"/>
        </w:tblCellMar>
      </w:tblPr>
      <w:tblGrid>
        <w:gridCol w:w="3676"/>
        <w:gridCol w:w="196"/>
        <w:gridCol w:w="631"/>
        <w:gridCol w:w="109"/>
        <w:gridCol w:w="196"/>
        <w:gridCol w:w="631"/>
        <w:gridCol w:w="109"/>
        <w:gridCol w:w="259"/>
        <w:gridCol w:w="836"/>
        <w:gridCol w:w="109"/>
        <w:gridCol w:w="196"/>
        <w:gridCol w:w="631"/>
        <w:gridCol w:w="109"/>
        <w:gridCol w:w="196"/>
        <w:gridCol w:w="631"/>
        <w:gridCol w:w="109"/>
        <w:gridCol w:w="232"/>
        <w:gridCol w:w="908"/>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334260" cy="175260"/>
                      <wp:effectExtent l="0" t="0" r="0" b="0"/>
                      <wp:wrapNone/>
                      <wp:docPr id="58" name="Frame57"/>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00685" cy="175260"/>
                      <wp:effectExtent l="0" t="0" r="0" b="0"/>
                      <wp:wrapNone/>
                      <wp:docPr id="59" name="Frame5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00685" cy="175260"/>
                      <wp:effectExtent l="0" t="0" r="0" b="0"/>
                      <wp:wrapNone/>
                      <wp:docPr id="61" name="Frame6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30860" cy="175260"/>
                      <wp:effectExtent l="0" t="0" r="0" b="0"/>
                      <wp:wrapNone/>
                      <wp:docPr id="63" name="Frame62"/>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00685" cy="175260"/>
                      <wp:effectExtent l="0" t="0" r="0" b="0"/>
                      <wp:wrapNone/>
                      <wp:docPr id="65" name="Frame6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00685" cy="175260"/>
                      <wp:effectExtent l="0" t="0" r="0" b="0"/>
                      <wp:wrapNone/>
                      <wp:docPr id="67" name="Frame6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68"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lineRule="auto" w:line="285" w:before="0" w:after="0"/>
              <w:ind w:left="0" w:right="0" w:hanging="0"/>
              <w:jc w:val="left"/>
              <w:rPr/>
            </w:pPr>
            <w:r>
              <w:rPr/>
              <w:t>​</w: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76580" cy="175260"/>
                      <wp:effectExtent l="0" t="0" r="0" b="0"/>
                      <wp:wrapNone/>
                      <wp:docPr id="69" name="Frame68"/>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6088" w:type="dxa"/>
            <w:gridSpan w:val="17"/>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36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Net cash (used in) provided by operating activities</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(1,799)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8,262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6,463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6,742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8,133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14,875</w:t>
            </w:r>
          </w:p>
        </w:tc>
      </w:tr>
      <w:tr>
        <w:trPr/>
        <w:tc>
          <w:tcPr>
            <w:tcW w:w="367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Changes in working capital and other items</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2,119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(9,364)</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(7,245)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(6,805)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(8,932)</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left"/>
              <w:rPr/>
            </w:pPr>
            <w:r>
              <w:rPr/>
              <w:t>​</w:t>
            </w:r>
          </w:p>
        </w:tc>
        <w:tc>
          <w:tcPr>
            <w:tcW w:w="908"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(15,737)</w:t>
            </w:r>
          </w:p>
        </w:tc>
      </w:tr>
      <w:tr>
        <w:trPr/>
        <w:tc>
          <w:tcPr>
            <w:tcW w:w="36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Non-cash adjustments to net (loss) income</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(240)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(297)</w:t>
            </w:r>
          </w:p>
        </w:tc>
      </w:tr>
      <w:tr>
        <w:trPr/>
        <w:tc>
          <w:tcPr>
            <w:tcW w:w="367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117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(1,163)</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center"/>
              <w:rPr/>
            </w:pPr>
            <w:r>
              <w:rPr/>
              <w:t>​</w:t>
            </w:r>
          </w:p>
        </w:tc>
        <w:tc>
          <w:tcPr>
            <w:tcW w:w="836"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(1,046)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(856)</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center"/>
              <w:rPr/>
            </w:pPr>
            <w:r>
              <w:rPr/>
              <w:t>​</w:t>
            </w:r>
          </w:p>
        </w:tc>
        <w:tc>
          <w:tcPr>
            <w:tcW w:w="908"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(1,159)</w:t>
            </w:r>
          </w:p>
        </w:tc>
      </w:tr>
      <w:tr>
        <w:trPr/>
        <w:tc>
          <w:tcPr>
            <w:tcW w:w="36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Strategic transaction expenses</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1,689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1,689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r>
      <w:tr>
        <w:trPr/>
        <w:tc>
          <w:tcPr>
            <w:tcW w:w="367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96" w:type="dxa"/>
            <w:tcBorders>
              <w:bottom w:val="double" w:sz="6"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1,806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(1,163)</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643</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(856)</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(1,159)</w:t>
            </w:r>
          </w:p>
        </w:tc>
      </w:tr>
    </w:tbl>
    <w:p>
      <w:pPr>
        <w:pStyle w:val="TextBody"/>
        <w:bidi w:val="0"/>
        <w:spacing w:lineRule="auto" w:line="285" w:before="100" w:after="100"/>
        <w:ind w:left="0" w:right="0" w:hanging="0"/>
        <w:jc w:val="left"/>
        <w:rPr/>
      </w:pPr>
      <w:r>
        <w:rPr/>
        <w:t>​</w:t>
      </w:r>
    </w:p>
    <w:tbl>
      <w:tblPr>
        <w:tblW w:w="9777" w:type="dxa"/>
        <w:jc w:val="left"/>
        <w:tblInd w:w="0" w:type="dxa"/>
        <w:tblLayout w:type="fixed"/>
        <w:tblCellMar>
          <w:top w:w="0" w:type="dxa"/>
          <w:left w:w="0" w:type="dxa"/>
          <w:bottom w:w="0" w:type="dxa"/>
          <w:right w:w="0" w:type="dxa"/>
        </w:tblCellMar>
      </w:tblPr>
      <w:tblGrid>
        <w:gridCol w:w="3676"/>
        <w:gridCol w:w="208"/>
        <w:gridCol w:w="542"/>
        <w:gridCol w:w="109"/>
        <w:gridCol w:w="196"/>
        <w:gridCol w:w="631"/>
        <w:gridCol w:w="109"/>
        <w:gridCol w:w="269"/>
        <w:gridCol w:w="826"/>
        <w:gridCol w:w="109"/>
        <w:gridCol w:w="196"/>
        <w:gridCol w:w="721"/>
        <w:gridCol w:w="109"/>
        <w:gridCol w:w="196"/>
        <w:gridCol w:w="631"/>
        <w:gridCol w:w="109"/>
        <w:gridCol w:w="232"/>
        <w:gridCol w:w="908"/>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334260" cy="175260"/>
                      <wp:effectExtent l="0" t="0" r="0" b="0"/>
                      <wp:wrapNone/>
                      <wp:docPr id="70" name="Frame69"/>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44170" cy="175260"/>
                      <wp:effectExtent l="0" t="0" r="0" b="0"/>
                      <wp:wrapNone/>
                      <wp:docPr id="71" name="Frame70"/>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00685" cy="175260"/>
                      <wp:effectExtent l="0" t="0" r="0" b="0"/>
                      <wp:wrapNone/>
                      <wp:docPr id="73" name="Frame7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24510" cy="175260"/>
                      <wp:effectExtent l="0" t="0" r="0" b="0"/>
                      <wp:wrapNone/>
                      <wp:docPr id="75" name="Frame7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6"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57835" cy="175260"/>
                      <wp:effectExtent l="0" t="0" r="0" b="0"/>
                      <wp:wrapNone/>
                      <wp:docPr id="77" name="Frame7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00685" cy="175260"/>
                      <wp:effectExtent l="0" t="0" r="0" b="0"/>
                      <wp:wrapNone/>
                      <wp:docPr id="79" name="Frame7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lineRule="auto" w:line="285" w:before="0" w:after="0"/>
              <w:ind w:left="0" w:right="0" w:hanging="0"/>
              <w:jc w:val="left"/>
              <w:rPr/>
            </w:pPr>
            <w:r>
              <w:rPr/>
              <w:t>​</w: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76580" cy="175260"/>
                      <wp:effectExtent l="0" t="0" r="0" b="0"/>
                      <wp:wrapNone/>
                      <wp:docPr id="81" name="Frame80"/>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6101"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operating activities</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5,898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5,998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8,286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8,341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16,627</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Changes in working capital and other items</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4,928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(1,310)</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3,618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(11,335)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(3,345)</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left"/>
              <w:rPr/>
            </w:pPr>
            <w:r>
              <w:rPr/>
              <w:t>​</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(14,680)</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Non-cash adjustments to net income (loss)</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(502)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(768)</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4,647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center"/>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9,114</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4,885</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center"/>
              <w:rPr/>
            </w:pPr>
            <w:r>
              <w:rPr/>
              <w:t>​</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1,179</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expenses</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208"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7,031</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11,498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4,885</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1,179</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left"/>
        <w:rPr>
          <w:rFonts w:ascii="Times New Roman;Times;serif" w:hAnsi="Times New Roman;Times;serif"/>
          <w:b/>
          <w:sz w:val="20"/>
        </w:rPr>
      </w:pPr>
      <w:r>
        <w:rPr>
          <w:rFonts w:ascii="Times New Roman;Times;serif" w:hAnsi="Times New Roman;Times;serif"/>
          <w:b/>
          <w:sz w:val="20"/>
        </w:rPr>
        <w:t>Statements of Operations by operating segment for the three months ended June 30, 2026, and 2025.</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77"/>
        <w:gridCol w:w="310"/>
        <w:gridCol w:w="902"/>
        <w:gridCol w:w="109"/>
        <w:gridCol w:w="364"/>
        <w:gridCol w:w="1038"/>
        <w:gridCol w:w="109"/>
        <w:gridCol w:w="258"/>
        <w:gridCol w:w="793"/>
        <w:gridCol w:w="109"/>
        <w:gridCol w:w="310"/>
        <w:gridCol w:w="902"/>
        <w:gridCol w:w="109"/>
        <w:gridCol w:w="359"/>
        <w:gridCol w:w="1043"/>
        <w:gridCol w:w="109"/>
        <w:gridCol w:w="240"/>
        <w:gridCol w:w="864"/>
      </w:tblGrid>
      <w:tr>
        <w:trPr/>
        <w:tc>
          <w:tcPr>
            <w:tcW w:w="2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45895" cy="175260"/>
                      <wp:effectExtent l="0" t="0" r="0" b="0"/>
                      <wp:wrapNone/>
                      <wp:docPr id="82" name="Frame81"/>
                      <a:graphic xmlns:a="http://schemas.openxmlformats.org/drawingml/2006/main">
                        <a:graphicData uri="http://schemas.microsoft.com/office/word/2010/wordprocessingShape">
                          <wps:wsp>
                            <wps:cNvSpPr txBox="1"/>
                            <wps:spPr>
                              <a:xfrm>
                                <a:off x="0" y="0"/>
                                <a:ext cx="14458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96850" cy="175260"/>
                      <wp:effectExtent l="0" t="0" r="0" b="0"/>
                      <wp:wrapNone/>
                      <wp:docPr id="83" name="Frame8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72770" cy="175260"/>
                      <wp:effectExtent l="0" t="0" r="0" b="0"/>
                      <wp:wrapNone/>
                      <wp:docPr id="84" name="Frame83"/>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31140" cy="175260"/>
                      <wp:effectExtent l="0" t="0" r="0" b="0"/>
                      <wp:wrapNone/>
                      <wp:docPr id="86" name="Frame8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59130" cy="175260"/>
                      <wp:effectExtent l="0" t="0" r="0" b="0"/>
                      <wp:wrapNone/>
                      <wp:docPr id="87" name="Frame86"/>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63830" cy="175260"/>
                      <wp:effectExtent l="0" t="0" r="0" b="0"/>
                      <wp:wrapNone/>
                      <wp:docPr id="89" name="Frame88"/>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03555" cy="175260"/>
                      <wp:effectExtent l="0" t="0" r="0" b="0"/>
                      <wp:wrapNone/>
                      <wp:docPr id="90" name="Frame89"/>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96850" cy="175260"/>
                      <wp:effectExtent l="0" t="0" r="0" b="0"/>
                      <wp:wrapNone/>
                      <wp:docPr id="92" name="Frame9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72770" cy="175260"/>
                      <wp:effectExtent l="0" t="0" r="0" b="0"/>
                      <wp:wrapNone/>
                      <wp:docPr id="93" name="Frame92"/>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27965" cy="175260"/>
                      <wp:effectExtent l="0" t="0" r="0" b="0"/>
                      <wp:wrapNone/>
                      <wp:docPr id="95" name="Frame94"/>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62305" cy="175260"/>
                      <wp:effectExtent l="0" t="0" r="0" b="0"/>
                      <wp:wrapNone/>
                      <wp:docPr id="96" name="Frame95"/>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52400" cy="175260"/>
                      <wp:effectExtent l="0" t="0" r="0" b="0"/>
                      <wp:wrapNone/>
                      <wp:docPr id="98" name="Frame9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48640" cy="175260"/>
                      <wp:effectExtent l="0" t="0" r="0" b="0"/>
                      <wp:wrapNone/>
                      <wp:docPr id="99" name="Frame98"/>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77" w:type="dxa"/>
            <w:tcBorders/>
            <w:vAlign w:val="center"/>
          </w:tcPr>
          <w:p>
            <w:pPr>
              <w:pStyle w:val="TableContents"/>
              <w:bidi w:val="0"/>
              <w:spacing w:lineRule="auto" w:line="285" w:before="0" w:after="0"/>
              <w:ind w:left="0" w:right="0" w:hanging="0"/>
              <w:jc w:val="left"/>
              <w:rPr/>
            </w:pPr>
            <w:r>
              <w:rPr/>
              <w:t>​</w:t>
            </w:r>
          </w:p>
        </w:tc>
        <w:tc>
          <w:tcPr>
            <w:tcW w:w="3883"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109" w:type="dxa"/>
            <w:tcBorders/>
            <w:vAlign w:val="center"/>
          </w:tcPr>
          <w:p>
            <w:pPr>
              <w:pStyle w:val="TableContents"/>
              <w:bidi w:val="0"/>
              <w:spacing w:lineRule="auto" w:line="285" w:before="0" w:after="0"/>
              <w:ind w:left="0" w:right="0" w:hanging="0"/>
              <w:jc w:val="center"/>
              <w:rPr/>
            </w:pPr>
            <w:r>
              <w:rPr/>
              <w:t>​</w:t>
            </w:r>
          </w:p>
        </w:tc>
        <w:tc>
          <w:tcPr>
            <w:tcW w:w="3936"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2277" w:type="dxa"/>
            <w:tcBorders/>
            <w:vAlign w:val="center"/>
          </w:tcPr>
          <w:p>
            <w:pPr>
              <w:pStyle w:val="TableContents"/>
              <w:bidi w:val="0"/>
              <w:spacing w:lineRule="auto" w:line="285" w:before="0" w:after="0"/>
              <w:ind w:left="0" w:right="0" w:hanging="0"/>
              <w:jc w:val="left"/>
              <w:rPr/>
            </w:pPr>
            <w:r>
              <w:rPr/>
              <w:t>​</w:t>
            </w:r>
          </w:p>
        </w:tc>
        <w:tc>
          <w:tcPr>
            <w:tcW w:w="12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4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lineRule="auto" w:line="285" w:before="0" w:after="0"/>
              <w:ind w:left="0" w:right="0" w:hanging="0"/>
              <w:jc w:val="center"/>
              <w:rPr/>
            </w:pPr>
            <w:r>
              <w:rPr/>
              <w:t>​</w:t>
            </w:r>
          </w:p>
        </w:tc>
        <w:tc>
          <w:tcPr>
            <w:tcW w:w="12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4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10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27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364"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8"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793"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359"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40"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864"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r>
      <w:tr>
        <w:trPr/>
        <w:tc>
          <w:tcPr>
            <w:tcW w:w="2277"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310"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13,176</w:t>
            </w:r>
          </w:p>
        </w:tc>
        <w:tc>
          <w:tcPr>
            <w:tcW w:w="109"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3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830</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14,006</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34,041</w:t>
            </w:r>
          </w:p>
        </w:tc>
        <w:tc>
          <w:tcPr>
            <w:tcW w:w="109" w:type="dxa"/>
            <w:tcBorders/>
            <w:vAlign w:val="center"/>
          </w:tcPr>
          <w:p>
            <w:pPr>
              <w:pStyle w:val="TableContents"/>
              <w:bidi w:val="0"/>
              <w:spacing w:lineRule="auto" w:line="285" w:before="0" w:after="0"/>
              <w:ind w:left="0" w:right="0" w:hanging="0"/>
              <w:jc w:val="left"/>
              <w:rPr/>
            </w:pPr>
            <w:r>
              <w:rPr/>
              <w:t>​</w:t>
            </w:r>
          </w:p>
        </w:tc>
        <w:tc>
          <w:tcPr>
            <w:tcW w:w="359"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4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12,473</w:t>
            </w:r>
          </w:p>
        </w:tc>
        <w:tc>
          <w:tcPr>
            <w:tcW w:w="109"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46,514</w:t>
            </w:r>
          </w:p>
        </w:tc>
      </w:tr>
      <w:tr>
        <w:trPr/>
        <w:tc>
          <w:tcPr>
            <w:tcW w:w="227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3,902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3,906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7,910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8,097</w:t>
            </w:r>
          </w:p>
        </w:tc>
      </w:tr>
      <w:tr>
        <w:trPr/>
        <w:tc>
          <w:tcPr>
            <w:tcW w:w="2277"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17,078</w:t>
            </w:r>
          </w:p>
        </w:tc>
        <w:tc>
          <w:tcPr>
            <w:tcW w:w="109"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left"/>
              <w:rPr/>
            </w:pPr>
            <w:r>
              <w:rPr/>
              <w:t>​</w:t>
            </w:r>
          </w:p>
        </w:tc>
        <w:tc>
          <w:tcPr>
            <w:tcW w:w="103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834</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17,912</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41,951</w:t>
            </w:r>
          </w:p>
        </w:tc>
        <w:tc>
          <w:tcPr>
            <w:tcW w:w="109" w:type="dxa"/>
            <w:tcBorders/>
            <w:vAlign w:val="center"/>
          </w:tcPr>
          <w:p>
            <w:pPr>
              <w:pStyle w:val="TableContents"/>
              <w:bidi w:val="0"/>
              <w:spacing w:lineRule="auto" w:line="285" w:before="0" w:after="0"/>
              <w:ind w:left="0" w:right="0" w:hanging="0"/>
              <w:jc w:val="left"/>
              <w:rPr/>
            </w:pPr>
            <w:r>
              <w:rPr/>
              <w:t>​</w:t>
            </w:r>
          </w:p>
        </w:tc>
        <w:tc>
          <w:tcPr>
            <w:tcW w:w="359" w:type="dxa"/>
            <w:tcBorders/>
            <w:vAlign w:val="center"/>
          </w:tcPr>
          <w:p>
            <w:pPr>
              <w:pStyle w:val="TableContents"/>
              <w:bidi w:val="0"/>
              <w:spacing w:lineRule="auto" w:line="285" w:before="0" w:after="0"/>
              <w:ind w:left="0" w:right="0" w:hanging="0"/>
              <w:jc w:val="left"/>
              <w:rPr/>
            </w:pPr>
            <w:r>
              <w:rPr/>
              <w:t>​</w:t>
            </w:r>
          </w:p>
        </w:tc>
        <w:tc>
          <w:tcPr>
            <w:tcW w:w="104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12,660</w:t>
            </w:r>
          </w:p>
        </w:tc>
        <w:tc>
          <w:tcPr>
            <w:tcW w:w="109"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54,611</w:t>
            </w:r>
          </w:p>
        </w:tc>
      </w:tr>
      <w:tr>
        <w:trPr/>
        <w:tc>
          <w:tcPr>
            <w:tcW w:w="2277"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0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shd w:fill="CCEEFF" w:val="clear"/>
            <w:vAlign w:val="center"/>
          </w:tcPr>
          <w:p>
            <w:pPr>
              <w:pStyle w:val="TableContents"/>
              <w:bidi w:val="0"/>
              <w:spacing w:lineRule="auto" w:line="285" w:before="0" w:after="0"/>
              <w:ind w:left="0" w:right="0" w:hanging="0"/>
              <w:jc w:val="left"/>
              <w:rPr/>
            </w:pPr>
            <w:r>
              <w:rPr/>
              <w:t>​</w:t>
            </w:r>
          </w:p>
        </w:tc>
        <w:tc>
          <w:tcPr>
            <w:tcW w:w="1038"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0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1043"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864" w:type="dxa"/>
            <w:tcBorders/>
            <w:shd w:fill="CCEEFF" w:val="clear"/>
            <w:vAlign w:val="center"/>
          </w:tcPr>
          <w:p>
            <w:pPr>
              <w:pStyle w:val="TableContents"/>
              <w:bidi w:val="0"/>
              <w:spacing w:lineRule="auto" w:line="285" w:before="0" w:after="0"/>
              <w:ind w:left="0" w:right="0" w:hanging="0"/>
              <w:jc w:val="right"/>
              <w:rPr/>
            </w:pPr>
            <w:r>
              <w:rPr/>
              <w:t>​</w:t>
            </w:r>
          </w:p>
        </w:tc>
      </w:tr>
      <w:tr>
        <w:trPr/>
        <w:tc>
          <w:tcPr>
            <w:tcW w:w="2277"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59"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64" w:type="dxa"/>
            <w:tcBorders/>
            <w:vAlign w:val="center"/>
          </w:tcPr>
          <w:p>
            <w:pPr>
              <w:pStyle w:val="TableContents"/>
              <w:bidi w:val="0"/>
              <w:spacing w:lineRule="auto" w:line="285" w:before="0" w:after="0"/>
              <w:ind w:left="0" w:right="0" w:hanging="0"/>
              <w:jc w:val="right"/>
              <w:rPr/>
            </w:pPr>
            <w:r>
              <w:rPr/>
              <w:t>​</w:t>
            </w:r>
          </w:p>
        </w:tc>
      </w:tr>
      <w:tr>
        <w:trPr/>
        <w:tc>
          <w:tcPr>
            <w:tcW w:w="227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9,779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1,619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11,398</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23,661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7,167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8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30,828</w:t>
            </w:r>
          </w:p>
        </w:tc>
      </w:tr>
      <w:tr>
        <w:trPr/>
        <w:tc>
          <w:tcPr>
            <w:tcW w:w="2277"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3,902</w:t>
            </w:r>
          </w:p>
        </w:tc>
        <w:tc>
          <w:tcPr>
            <w:tcW w:w="109" w:type="dxa"/>
            <w:tcBorders/>
            <w:vAlign w:val="center"/>
          </w:tcPr>
          <w:p>
            <w:pPr>
              <w:pStyle w:val="TableContents"/>
              <w:bidi w:val="0"/>
              <w:spacing w:lineRule="auto" w:line="285"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3,906</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7,910</w:t>
            </w:r>
          </w:p>
        </w:tc>
        <w:tc>
          <w:tcPr>
            <w:tcW w:w="109" w:type="dxa"/>
            <w:tcBorders/>
            <w:vAlign w:val="center"/>
          </w:tcPr>
          <w:p>
            <w:pPr>
              <w:pStyle w:val="TableContents"/>
              <w:bidi w:val="0"/>
              <w:spacing w:lineRule="auto" w:line="285" w:before="0" w:after="0"/>
              <w:ind w:left="0" w:right="0" w:hanging="0"/>
              <w:jc w:val="left"/>
              <w:rPr/>
            </w:pPr>
            <w:r>
              <w:rPr/>
              <w:t>​</w:t>
            </w:r>
          </w:p>
        </w:tc>
        <w:tc>
          <w:tcPr>
            <w:tcW w:w="3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187</w:t>
            </w:r>
          </w:p>
        </w:tc>
        <w:tc>
          <w:tcPr>
            <w:tcW w:w="109" w:type="dxa"/>
            <w:tcBorders/>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8,097</w:t>
            </w:r>
          </w:p>
        </w:tc>
      </w:tr>
      <w:tr>
        <w:trPr/>
        <w:tc>
          <w:tcPr>
            <w:tcW w:w="227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0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13,681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shd w:fill="CCEEFF" w:val="clear"/>
            <w:vAlign w:val="center"/>
          </w:tcPr>
          <w:p>
            <w:pPr>
              <w:pStyle w:val="TableContents"/>
              <w:bidi w:val="0"/>
              <w:spacing w:lineRule="auto" w:line="285" w:before="0" w:after="0"/>
              <w:ind w:left="0" w:right="0" w:hanging="0"/>
              <w:jc w:val="left"/>
              <w:rPr/>
            </w:pPr>
            <w:r>
              <w:rPr/>
              <w:t>​</w:t>
            </w:r>
          </w:p>
        </w:tc>
        <w:tc>
          <w:tcPr>
            <w:tcW w:w="10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15,304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0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31,571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10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7,354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8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38,925</w:t>
            </w:r>
          </w:p>
        </w:tc>
      </w:tr>
      <w:tr>
        <w:trPr/>
        <w:tc>
          <w:tcPr>
            <w:tcW w:w="2277"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3,324</w:t>
            </w:r>
          </w:p>
        </w:tc>
        <w:tc>
          <w:tcPr>
            <w:tcW w:w="109"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328</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3,652</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5,800</w:t>
            </w:r>
          </w:p>
        </w:tc>
        <w:tc>
          <w:tcPr>
            <w:tcW w:w="109" w:type="dxa"/>
            <w:tcBorders/>
            <w:vAlign w:val="center"/>
          </w:tcPr>
          <w:p>
            <w:pPr>
              <w:pStyle w:val="TableContents"/>
              <w:bidi w:val="0"/>
              <w:spacing w:lineRule="auto" w:line="285" w:before="0" w:after="0"/>
              <w:ind w:left="0" w:right="0" w:hanging="0"/>
              <w:jc w:val="left"/>
              <w:rPr/>
            </w:pPr>
            <w:r>
              <w:rPr/>
              <w:t>​</w:t>
            </w:r>
          </w:p>
        </w:tc>
        <w:tc>
          <w:tcPr>
            <w:tcW w:w="359"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793</w:t>
            </w:r>
          </w:p>
        </w:tc>
        <w:tc>
          <w:tcPr>
            <w:tcW w:w="109"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6,593</w:t>
            </w:r>
          </w:p>
        </w:tc>
      </w:tr>
      <w:tr>
        <w:trPr/>
        <w:tc>
          <w:tcPr>
            <w:tcW w:w="227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1,985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3,521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3,982</w:t>
            </w:r>
          </w:p>
        </w:tc>
      </w:tr>
      <w:tr>
        <w:trPr/>
        <w:tc>
          <w:tcPr>
            <w:tcW w:w="2277" w:type="dxa"/>
            <w:tcBorders/>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18,760</w:t>
            </w:r>
          </w:p>
        </w:tc>
        <w:tc>
          <w:tcPr>
            <w:tcW w:w="109" w:type="dxa"/>
            <w:tcBorders/>
            <w:vAlign w:val="center"/>
          </w:tcPr>
          <w:p>
            <w:pPr>
              <w:pStyle w:val="TableContents"/>
              <w:bidi w:val="0"/>
              <w:spacing w:lineRule="auto" w:line="285"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3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2,181</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20,941</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40,892</w:t>
            </w:r>
          </w:p>
        </w:tc>
        <w:tc>
          <w:tcPr>
            <w:tcW w:w="109" w:type="dxa"/>
            <w:tcBorders/>
            <w:vAlign w:val="center"/>
          </w:tcPr>
          <w:p>
            <w:pPr>
              <w:pStyle w:val="TableContents"/>
              <w:bidi w:val="0"/>
              <w:spacing w:lineRule="auto" w:line="285" w:before="0" w:after="0"/>
              <w:ind w:left="0" w:right="0" w:hanging="0"/>
              <w:jc w:val="left"/>
              <w:rPr/>
            </w:pPr>
            <w:r>
              <w:rPr/>
              <w:t>​</w:t>
            </w:r>
          </w:p>
        </w:tc>
        <w:tc>
          <w:tcPr>
            <w:tcW w:w="35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8,608</w:t>
            </w:r>
          </w:p>
        </w:tc>
        <w:tc>
          <w:tcPr>
            <w:tcW w:w="109" w:type="dxa"/>
            <w:tcBorders/>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49,500</w:t>
            </w:r>
          </w:p>
        </w:tc>
      </w:tr>
      <w:tr>
        <w:trPr/>
        <w:tc>
          <w:tcPr>
            <w:tcW w:w="2277"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864" w:type="dxa"/>
            <w:tcBorders/>
            <w:shd w:fill="CCEEFF" w:val="clear"/>
            <w:vAlign w:val="center"/>
          </w:tcPr>
          <w:p>
            <w:pPr>
              <w:pStyle w:val="TableContents"/>
              <w:bidi w:val="0"/>
              <w:spacing w:lineRule="auto" w:line="285" w:before="0" w:after="0"/>
              <w:ind w:left="0" w:right="0" w:hanging="0"/>
              <w:jc w:val="right"/>
              <w:rPr/>
            </w:pPr>
            <w:r>
              <w:rPr/>
              <w:t>​</w:t>
            </w:r>
          </w:p>
        </w:tc>
      </w:tr>
      <w:tr>
        <w:trPr/>
        <w:tc>
          <w:tcPr>
            <w:tcW w:w="2277"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(Loss) income from operations</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(1,682)</w:t>
            </w:r>
          </w:p>
        </w:tc>
        <w:tc>
          <w:tcPr>
            <w:tcW w:w="109"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(1,347)</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(3,029)</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1,059</w:t>
            </w:r>
          </w:p>
        </w:tc>
        <w:tc>
          <w:tcPr>
            <w:tcW w:w="109" w:type="dxa"/>
            <w:tcBorders/>
            <w:vAlign w:val="center"/>
          </w:tcPr>
          <w:p>
            <w:pPr>
              <w:pStyle w:val="TableContents"/>
              <w:bidi w:val="0"/>
              <w:spacing w:lineRule="auto" w:line="285" w:before="0" w:after="0"/>
              <w:ind w:left="0" w:right="0" w:hanging="0"/>
              <w:jc w:val="left"/>
              <w:rPr/>
            </w:pPr>
            <w:r>
              <w:rPr/>
              <w:t>​</w:t>
            </w:r>
          </w:p>
        </w:tc>
        <w:tc>
          <w:tcPr>
            <w:tcW w:w="359"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4,052</w:t>
            </w:r>
          </w:p>
        </w:tc>
        <w:tc>
          <w:tcPr>
            <w:tcW w:w="109"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5,111</w:t>
            </w:r>
          </w:p>
        </w:tc>
      </w:tr>
      <w:tr>
        <w:trPr/>
        <w:tc>
          <w:tcPr>
            <w:tcW w:w="2277"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864" w:type="dxa"/>
            <w:tcBorders/>
            <w:shd w:fill="CCEEFF" w:val="clear"/>
            <w:vAlign w:val="center"/>
          </w:tcPr>
          <w:p>
            <w:pPr>
              <w:pStyle w:val="TableContents"/>
              <w:bidi w:val="0"/>
              <w:spacing w:lineRule="auto" w:line="285" w:before="0" w:after="0"/>
              <w:ind w:left="0" w:right="0" w:hanging="0"/>
              <w:jc w:val="right"/>
              <w:rPr/>
            </w:pPr>
            <w:r>
              <w:rPr/>
              <w:t>​</w:t>
            </w:r>
          </w:p>
        </w:tc>
      </w:tr>
      <w:tr>
        <w:trPr/>
        <w:tc>
          <w:tcPr>
            <w:tcW w:w="2277"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59"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64" w:type="dxa"/>
            <w:tcBorders/>
            <w:vAlign w:val="center"/>
          </w:tcPr>
          <w:p>
            <w:pPr>
              <w:pStyle w:val="TableContents"/>
              <w:bidi w:val="0"/>
              <w:spacing w:lineRule="auto" w:line="285" w:before="0" w:after="0"/>
              <w:ind w:left="0" w:right="0" w:hanging="0"/>
              <w:jc w:val="right"/>
              <w:rPr/>
            </w:pPr>
            <w:r>
              <w:rPr/>
              <w:t>​</w:t>
            </w:r>
          </w:p>
        </w:tc>
      </w:tr>
      <w:tr>
        <w:trPr/>
        <w:tc>
          <w:tcPr>
            <w:tcW w:w="227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8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w:t>
            </w:r>
          </w:p>
        </w:tc>
      </w:tr>
      <w:tr>
        <w:trPr/>
        <w:tc>
          <w:tcPr>
            <w:tcW w:w="2277"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(407)</w:t>
            </w:r>
          </w:p>
        </w:tc>
        <w:tc>
          <w:tcPr>
            <w:tcW w:w="109"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(426)</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(891)</w:t>
            </w:r>
          </w:p>
        </w:tc>
        <w:tc>
          <w:tcPr>
            <w:tcW w:w="109" w:type="dxa"/>
            <w:tcBorders/>
            <w:vAlign w:val="center"/>
          </w:tcPr>
          <w:p>
            <w:pPr>
              <w:pStyle w:val="TableContents"/>
              <w:bidi w:val="0"/>
              <w:spacing w:lineRule="auto" w:line="285" w:before="0" w:after="0"/>
              <w:ind w:left="0" w:right="0" w:hanging="0"/>
              <w:jc w:val="left"/>
              <w:rPr/>
            </w:pPr>
            <w:r>
              <w:rPr/>
              <w:t>​</w:t>
            </w:r>
          </w:p>
        </w:tc>
        <w:tc>
          <w:tcPr>
            <w:tcW w:w="359"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109"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(927)</w:t>
            </w:r>
          </w:p>
        </w:tc>
      </w:tr>
      <w:tr>
        <w:trPr/>
        <w:tc>
          <w:tcPr>
            <w:tcW w:w="227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w:t>
            </w:r>
          </w:p>
        </w:tc>
      </w:tr>
      <w:tr>
        <w:trPr/>
        <w:tc>
          <w:tcPr>
            <w:tcW w:w="2277"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(Loss) income before income tax</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(2,019)</w:t>
            </w:r>
          </w:p>
        </w:tc>
        <w:tc>
          <w:tcPr>
            <w:tcW w:w="109"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(1,406)</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center"/>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(3,425)</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267</w:t>
            </w:r>
          </w:p>
        </w:tc>
        <w:tc>
          <w:tcPr>
            <w:tcW w:w="109" w:type="dxa"/>
            <w:tcBorders/>
            <w:vAlign w:val="center"/>
          </w:tcPr>
          <w:p>
            <w:pPr>
              <w:pStyle w:val="TableContents"/>
              <w:bidi w:val="0"/>
              <w:spacing w:lineRule="auto" w:line="285" w:before="0" w:after="0"/>
              <w:ind w:left="0" w:right="0" w:hanging="0"/>
              <w:jc w:val="left"/>
              <w:rPr/>
            </w:pPr>
            <w:r>
              <w:rPr/>
              <w:t>​</w:t>
            </w:r>
          </w:p>
        </w:tc>
        <w:tc>
          <w:tcPr>
            <w:tcW w:w="359"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3,979</w:t>
            </w:r>
          </w:p>
        </w:tc>
        <w:tc>
          <w:tcPr>
            <w:tcW w:w="109"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center"/>
              <w:rPr/>
            </w:pPr>
            <w:r>
              <w:rPr/>
              <w:t>​</w:t>
            </w:r>
          </w:p>
        </w:tc>
        <w:tc>
          <w:tcPr>
            <w:tcW w:w="8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4,246</w:t>
            </w:r>
          </w:p>
        </w:tc>
      </w:tr>
      <w:tr>
        <w:trPr/>
        <w:tc>
          <w:tcPr>
            <w:tcW w:w="227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tax expense</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w:t>
            </w:r>
          </w:p>
        </w:tc>
      </w:tr>
      <w:tr>
        <w:trPr/>
        <w:tc>
          <w:tcPr>
            <w:tcW w:w="2277"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Net (loss) income</w:t>
            </w:r>
          </w:p>
        </w:tc>
        <w:tc>
          <w:tcPr>
            <w:tcW w:w="31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(2,034)</w:t>
            </w:r>
          </w:p>
        </w:tc>
        <w:tc>
          <w:tcPr>
            <w:tcW w:w="109" w:type="dxa"/>
            <w:tcBorders/>
            <w:vAlign w:val="center"/>
          </w:tcPr>
          <w:p>
            <w:pPr>
              <w:pStyle w:val="TableContents"/>
              <w:bidi w:val="0"/>
              <w:spacing w:lineRule="auto" w:line="285" w:before="0" w:after="0"/>
              <w:ind w:left="0" w:right="0" w:hanging="0"/>
              <w:jc w:val="left"/>
              <w:rPr/>
            </w:pPr>
            <w:r>
              <w:rPr/>
              <w:t>​</w:t>
            </w:r>
          </w:p>
        </w:tc>
        <w:tc>
          <w:tcPr>
            <w:tcW w:w="36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3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(1,406)</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(3,440)</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242</w:t>
            </w:r>
          </w:p>
        </w:tc>
        <w:tc>
          <w:tcPr>
            <w:tcW w:w="109" w:type="dxa"/>
            <w:tcBorders/>
            <w:vAlign w:val="center"/>
          </w:tcPr>
          <w:p>
            <w:pPr>
              <w:pStyle w:val="TableContents"/>
              <w:bidi w:val="0"/>
              <w:spacing w:lineRule="auto" w:line="285" w:before="0" w:after="0"/>
              <w:ind w:left="0" w:right="0" w:hanging="0"/>
              <w:jc w:val="left"/>
              <w:rPr/>
            </w:pPr>
            <w:r>
              <w:rPr/>
              <w:t>​</w:t>
            </w:r>
          </w:p>
        </w:tc>
        <w:tc>
          <w:tcPr>
            <w:tcW w:w="35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4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3,979</w:t>
            </w:r>
          </w:p>
        </w:tc>
        <w:tc>
          <w:tcPr>
            <w:tcW w:w="109" w:type="dxa"/>
            <w:tcBorders/>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4,221</w:t>
            </w:r>
          </w:p>
        </w:tc>
      </w:tr>
      <w:tr>
        <w:trPr/>
        <w:tc>
          <w:tcPr>
            <w:tcW w:w="2277"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2277"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Adjusted EBITDA</w:t>
            </w:r>
          </w:p>
        </w:tc>
        <w:tc>
          <w:tcPr>
            <w:tcW w:w="31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1,806</w:t>
            </w:r>
          </w:p>
        </w:tc>
        <w:tc>
          <w:tcPr>
            <w:tcW w:w="109" w:type="dxa"/>
            <w:tcBorders/>
            <w:vAlign w:val="center"/>
          </w:tcPr>
          <w:p>
            <w:pPr>
              <w:pStyle w:val="TableContents"/>
              <w:bidi w:val="0"/>
              <w:spacing w:lineRule="auto" w:line="285" w:before="0" w:after="0"/>
              <w:ind w:left="0" w:right="0" w:hanging="0"/>
              <w:jc w:val="left"/>
              <w:rPr/>
            </w:pPr>
            <w:r>
              <w:rPr/>
              <w:t>​</w:t>
            </w:r>
          </w:p>
        </w:tc>
        <w:tc>
          <w:tcPr>
            <w:tcW w:w="36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(1,163)</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643</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7,031</w:t>
            </w:r>
          </w:p>
        </w:tc>
        <w:tc>
          <w:tcPr>
            <w:tcW w:w="109" w:type="dxa"/>
            <w:tcBorders/>
            <w:vAlign w:val="center"/>
          </w:tcPr>
          <w:p>
            <w:pPr>
              <w:pStyle w:val="TableContents"/>
              <w:bidi w:val="0"/>
              <w:spacing w:lineRule="auto" w:line="285" w:before="0" w:after="0"/>
              <w:ind w:left="0" w:right="0" w:hanging="0"/>
              <w:jc w:val="left"/>
              <w:rPr/>
            </w:pPr>
            <w:r>
              <w:rPr/>
              <w:t>​</w:t>
            </w:r>
          </w:p>
        </w:tc>
        <w:tc>
          <w:tcPr>
            <w:tcW w:w="35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4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4"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11,498</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278"/>
        <w:gridCol w:w="310"/>
        <w:gridCol w:w="902"/>
        <w:gridCol w:w="109"/>
        <w:gridCol w:w="365"/>
        <w:gridCol w:w="1038"/>
        <w:gridCol w:w="109"/>
        <w:gridCol w:w="258"/>
        <w:gridCol w:w="793"/>
        <w:gridCol w:w="109"/>
        <w:gridCol w:w="310"/>
        <w:gridCol w:w="902"/>
        <w:gridCol w:w="109"/>
        <w:gridCol w:w="360"/>
        <w:gridCol w:w="1043"/>
        <w:gridCol w:w="109"/>
        <w:gridCol w:w="255"/>
        <w:gridCol w:w="846"/>
      </w:tblGrid>
      <w:tr>
        <w:trPr/>
        <w:tc>
          <w:tcPr>
            <w:tcW w:w="2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46530" cy="175260"/>
                      <wp:effectExtent l="0" t="0" r="0" b="0"/>
                      <wp:wrapNone/>
                      <wp:docPr id="100" name="Frame99"/>
                      <a:graphic xmlns:a="http://schemas.openxmlformats.org/drawingml/2006/main">
                        <a:graphicData uri="http://schemas.microsoft.com/office/word/2010/wordprocessingShape">
                          <wps:wsp>
                            <wps:cNvSpPr txBox="1"/>
                            <wps:spPr>
                              <a:xfrm>
                                <a:off x="0" y="0"/>
                                <a:ext cx="144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96850" cy="175260"/>
                      <wp:effectExtent l="0" t="0" r="0" b="0"/>
                      <wp:wrapNone/>
                      <wp:docPr id="101" name="Frame10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72770" cy="175260"/>
                      <wp:effectExtent l="0" t="0" r="0" b="0"/>
                      <wp:wrapNone/>
                      <wp:docPr id="102" name="Frame101"/>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31775" cy="175260"/>
                      <wp:effectExtent l="0" t="0" r="0" b="0"/>
                      <wp:wrapNone/>
                      <wp:docPr id="104" name="Frame103"/>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59130" cy="175260"/>
                      <wp:effectExtent l="0" t="0" r="0" b="0"/>
                      <wp:wrapNone/>
                      <wp:docPr id="105" name="Frame104"/>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63830" cy="175260"/>
                      <wp:effectExtent l="0" t="0" r="0" b="0"/>
                      <wp:wrapNone/>
                      <wp:docPr id="107" name="Frame106"/>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03555" cy="175260"/>
                      <wp:effectExtent l="0" t="0" r="0" b="0"/>
                      <wp:wrapNone/>
                      <wp:docPr id="108" name="Frame107"/>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9"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96850" cy="175260"/>
                      <wp:effectExtent l="0" t="0" r="0" b="0"/>
                      <wp:wrapNone/>
                      <wp:docPr id="110" name="Frame109"/>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72770" cy="175260"/>
                      <wp:effectExtent l="0" t="0" r="0" b="0"/>
                      <wp:wrapNone/>
                      <wp:docPr id="111" name="Frame110"/>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28600" cy="175260"/>
                      <wp:effectExtent l="0" t="0" r="0" b="0"/>
                      <wp:wrapNone/>
                      <wp:docPr id="113" name="Frame1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62305" cy="175260"/>
                      <wp:effectExtent l="0" t="0" r="0" b="0"/>
                      <wp:wrapNone/>
                      <wp:docPr id="114" name="Frame113"/>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5"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61925" cy="175260"/>
                      <wp:effectExtent l="0" t="0" r="0" b="0"/>
                      <wp:wrapNone/>
                      <wp:docPr id="116" name="Frame11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37210" cy="175260"/>
                      <wp:effectExtent l="0" t="0" r="0" b="0"/>
                      <wp:wrapNone/>
                      <wp:docPr id="117" name="Frame116"/>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78" w:type="dxa"/>
            <w:tcBorders/>
            <w:vAlign w:val="center"/>
          </w:tcPr>
          <w:p>
            <w:pPr>
              <w:pStyle w:val="TableContents"/>
              <w:bidi w:val="0"/>
              <w:spacing w:lineRule="auto" w:line="285" w:before="0" w:after="0"/>
              <w:ind w:left="0" w:right="0" w:hanging="0"/>
              <w:jc w:val="left"/>
              <w:rPr/>
            </w:pPr>
            <w:r>
              <w:rPr/>
              <w:t>​</w:t>
            </w:r>
          </w:p>
        </w:tc>
        <w:tc>
          <w:tcPr>
            <w:tcW w:w="388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c>
          <w:tcPr>
            <w:tcW w:w="109" w:type="dxa"/>
            <w:tcBorders/>
            <w:vAlign w:val="center"/>
          </w:tcPr>
          <w:p>
            <w:pPr>
              <w:pStyle w:val="TableContents"/>
              <w:bidi w:val="0"/>
              <w:spacing w:lineRule="auto" w:line="285" w:before="0" w:after="0"/>
              <w:ind w:left="0" w:right="0" w:hanging="0"/>
              <w:jc w:val="center"/>
              <w:rPr/>
            </w:pPr>
            <w:r>
              <w:rPr/>
              <w:t>​</w:t>
            </w:r>
          </w:p>
        </w:tc>
        <w:tc>
          <w:tcPr>
            <w:tcW w:w="393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2278" w:type="dxa"/>
            <w:tcBorders/>
            <w:vAlign w:val="center"/>
          </w:tcPr>
          <w:p>
            <w:pPr>
              <w:pStyle w:val="TableContents"/>
              <w:bidi w:val="0"/>
              <w:spacing w:lineRule="auto" w:line="285" w:before="0" w:after="0"/>
              <w:ind w:left="0" w:right="0" w:hanging="0"/>
              <w:jc w:val="left"/>
              <w:rPr/>
            </w:pPr>
            <w:r>
              <w:rPr/>
              <w:t>​</w:t>
            </w:r>
          </w:p>
        </w:tc>
        <w:tc>
          <w:tcPr>
            <w:tcW w:w="12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40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lineRule="auto" w:line="285" w:before="0" w:after="0"/>
              <w:ind w:left="0" w:right="0" w:hanging="0"/>
              <w:jc w:val="center"/>
              <w:rPr/>
            </w:pPr>
            <w:r>
              <w:rPr/>
              <w:t>​</w:t>
            </w:r>
          </w:p>
        </w:tc>
        <w:tc>
          <w:tcPr>
            <w:tcW w:w="12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40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10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8"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793"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360"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5"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846"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r>
      <w:tr>
        <w:trPr/>
        <w:tc>
          <w:tcPr>
            <w:tcW w:w="227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310"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8,404</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3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331</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8,735</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11,130</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4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12,864</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4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23,994</w:t>
            </w:r>
          </w:p>
        </w:tc>
      </w:tr>
      <w:tr>
        <w:trPr/>
        <w:tc>
          <w:tcPr>
            <w:tcW w:w="2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1,935</w:t>
            </w:r>
          </w:p>
        </w:tc>
      </w:tr>
      <w:tr>
        <w:trPr/>
        <w:tc>
          <w:tcPr>
            <w:tcW w:w="2278"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9,520</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103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331</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9,851</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12,816</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left"/>
              <w:rPr/>
            </w:pPr>
            <w:r>
              <w:rPr/>
              <w:t>​</w:t>
            </w:r>
          </w:p>
        </w:tc>
        <w:tc>
          <w:tcPr>
            <w:tcW w:w="104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13,113</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25,929</w:t>
            </w:r>
          </w:p>
        </w:tc>
      </w:tr>
      <w:tr>
        <w:trPr/>
        <w:tc>
          <w:tcPr>
            <w:tcW w:w="2278"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0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pPr>
            <w:r>
              <w:rPr/>
              <w:t>​</w:t>
            </w:r>
          </w:p>
        </w:tc>
        <w:tc>
          <w:tcPr>
            <w:tcW w:w="1038"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0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pPr>
            <w:r>
              <w:rPr/>
              <w:t>​</w:t>
            </w:r>
          </w:p>
        </w:tc>
        <w:tc>
          <w:tcPr>
            <w:tcW w:w="1043"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pPr>
            <w:r>
              <w:rPr/>
              <w:t>​</w:t>
            </w:r>
          </w:p>
        </w:tc>
      </w:tr>
      <w:tr>
        <w:trPr/>
        <w:tc>
          <w:tcPr>
            <w:tcW w:w="227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right"/>
              <w:rPr/>
            </w:pPr>
            <w:r>
              <w:rPr/>
              <w:t>​</w:t>
            </w:r>
          </w:p>
        </w:tc>
      </w:tr>
      <w:tr>
        <w:trPr/>
        <w:tc>
          <w:tcPr>
            <w:tcW w:w="2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6,742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7,601</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7,204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18,561</w:t>
            </w:r>
          </w:p>
        </w:tc>
      </w:tr>
      <w:tr>
        <w:trPr/>
        <w:tc>
          <w:tcPr>
            <w:tcW w:w="227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1,116</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1,116</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1,686</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249</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1,935</w:t>
            </w:r>
          </w:p>
        </w:tc>
      </w:tr>
      <w:tr>
        <w:trPr/>
        <w:tc>
          <w:tcPr>
            <w:tcW w:w="2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0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7,858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pPr>
            <w:r>
              <w:rPr/>
              <w:t>​</w:t>
            </w:r>
          </w:p>
        </w:tc>
        <w:tc>
          <w:tcPr>
            <w:tcW w:w="10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8,717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0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13,043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pPr>
            <w:r>
              <w:rPr/>
              <w:t>​</w:t>
            </w:r>
          </w:p>
        </w:tc>
        <w:tc>
          <w:tcPr>
            <w:tcW w:w="10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7,453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20,496</w:t>
            </w:r>
          </w:p>
        </w:tc>
      </w:tr>
      <w:tr>
        <w:trPr/>
        <w:tc>
          <w:tcPr>
            <w:tcW w:w="227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1,998</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333</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2,331</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3,553</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772</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4,325</w:t>
            </w:r>
          </w:p>
        </w:tc>
      </w:tr>
      <w:tr>
        <w:trPr/>
        <w:tc>
          <w:tcPr>
            <w:tcW w:w="2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2,058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2,445</w:t>
            </w:r>
          </w:p>
        </w:tc>
      </w:tr>
      <w:tr>
        <w:trPr/>
        <w:tc>
          <w:tcPr>
            <w:tcW w:w="2278" w:type="dxa"/>
            <w:tcBorders/>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10,837</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3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1,385</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12,222</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18,654</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8,612</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27,266</w:t>
            </w:r>
          </w:p>
        </w:tc>
      </w:tr>
      <w:tr>
        <w:trPr/>
        <w:tc>
          <w:tcPr>
            <w:tcW w:w="2278"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pPr>
            <w:r>
              <w:rPr/>
              <w:t>​</w:t>
            </w:r>
          </w:p>
        </w:tc>
      </w:tr>
      <w:tr>
        <w:trPr/>
        <w:tc>
          <w:tcPr>
            <w:tcW w:w="227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(Loss) income from operations</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(1,317)</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(1,054)</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(2,371)</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(5,838)</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4,501</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(1,337)</w:t>
            </w:r>
          </w:p>
        </w:tc>
      </w:tr>
      <w:tr>
        <w:trPr/>
        <w:tc>
          <w:tcPr>
            <w:tcW w:w="2278"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pPr>
            <w:r>
              <w:rPr/>
              <w:t>​</w:t>
            </w:r>
          </w:p>
        </w:tc>
      </w:tr>
      <w:tr>
        <w:trPr/>
        <w:tc>
          <w:tcPr>
            <w:tcW w:w="227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right"/>
              <w:rPr/>
            </w:pPr>
            <w:r>
              <w:rPr/>
              <w:t>​</w:t>
            </w:r>
          </w:p>
        </w:tc>
      </w:tr>
      <w:tr>
        <w:trPr/>
        <w:tc>
          <w:tcPr>
            <w:tcW w:w="2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w:t>
            </w:r>
          </w:p>
        </w:tc>
      </w:tr>
      <w:tr>
        <w:trPr/>
        <w:tc>
          <w:tcPr>
            <w:tcW w:w="227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(109)</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(134)</w:t>
            </w:r>
          </w:p>
        </w:tc>
      </w:tr>
      <w:tr>
        <w:trPr/>
        <w:tc>
          <w:tcPr>
            <w:tcW w:w="2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w:t>
            </w:r>
          </w:p>
        </w:tc>
      </w:tr>
      <w:tr>
        <w:trPr/>
        <w:tc>
          <w:tcPr>
            <w:tcW w:w="227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(Loss) income before income tax</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(1,304)</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(1,052)</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center"/>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(2,356)</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(5,847)</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4,486</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center"/>
              <w:rPr/>
            </w:pPr>
            <w:r>
              <w:rPr/>
              <w:t>​</w:t>
            </w:r>
          </w:p>
        </w:tc>
        <w:tc>
          <w:tcPr>
            <w:tcW w:w="84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(1,361)</w:t>
            </w:r>
          </w:p>
        </w:tc>
      </w:tr>
      <w:tr>
        <w:trPr/>
        <w:tc>
          <w:tcPr>
            <w:tcW w:w="2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tax benefit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227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Net (loss) income</w:t>
            </w:r>
          </w:p>
        </w:tc>
        <w:tc>
          <w:tcPr>
            <w:tcW w:w="31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(1,297)</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3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(1,052)</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(2,349)</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(5,843)</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4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4,486</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(1,357)</w:t>
            </w:r>
          </w:p>
        </w:tc>
      </w:tr>
      <w:tr>
        <w:trPr/>
        <w:tc>
          <w:tcPr>
            <w:tcW w:w="2278"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r>
      <w:tr>
        <w:trPr/>
        <w:tc>
          <w:tcPr>
            <w:tcW w:w="227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Adjusted EBITDA</w:t>
            </w:r>
          </w:p>
        </w:tc>
        <w:tc>
          <w:tcPr>
            <w:tcW w:w="31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3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(856)</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(1,159)</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(3,706)</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4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4,885</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4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1,179</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font-weight:bold"/>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4689</Words>
  <Characters>26215</Characters>
  <CharactersWithSpaces>32112</CharactersWithSpaces>
  <Paragraphs>3171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