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14" w:before="0" w:after="120"/>
        <w:ind w:left="0" w:right="0" w:hanging="0"/>
        <w:jc w:val="left"/>
        <w:rPr/>
      </w:pPr>
      <w:hyperlink w:anchor="Toc">
        <w:bookmarkStart w:id="0" w:name="dwsn-20251231x10k.htm"/>
        <w:bookmarkStart w:id="1" w:name="ksdwsn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20" w:after="0"/>
        <w:ind w:left="0" w:right="0" w:hanging="0"/>
        <w:jc w:val="center"/>
        <w:rPr/>
      </w:pPr>
      <w:bookmarkStart w:id="2" w:name="_2bb0e7a7_a688_44a9_8cce_93b1f5ff6da8"/>
      <w:bookmarkEnd w:id="2"/>
      <w:r>
        <w:rPr/>
        <w:t>​</w:t>
      </w:r>
    </w:p>
    <w:p>
      <w:pPr>
        <w:pStyle w:val="TextBody"/>
        <w:bidi w:val="0"/>
        <w:spacing w:before="2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10-K</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center"/>
        <w:rPr/>
      </w:pPr>
      <w:r>
        <w:rPr/>
        <w:t>​</w:t>
      </w:r>
    </w:p>
    <w:p>
      <w:pPr>
        <w:pStyle w:val="TextBody"/>
        <w:pBdr/>
        <w:bidi w:val="0"/>
        <w:spacing w:before="0" w:after="0"/>
        <w:ind w:left="0" w:right="0" w:hanging="72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pBdr/>
        <w:bidi w:val="0"/>
        <w:spacing w:before="0" w:after="0"/>
        <w:ind w:left="0" w:right="0" w:hanging="720"/>
        <w:jc w:val="center"/>
        <w:rPr/>
      </w:pPr>
      <w:r>
        <w:rPr/>
        <w:t>​</w:t>
      </w:r>
    </w:p>
    <w:tbl>
      <w:tblPr>
        <w:tblW w:w="9861" w:type="dxa"/>
        <w:jc w:val="left"/>
        <w:tblInd w:w="0" w:type="dxa"/>
        <w:tblLayout w:type="fixed"/>
        <w:tblCellMar>
          <w:top w:w="0" w:type="dxa"/>
          <w:left w:w="0" w:type="dxa"/>
          <w:bottom w:w="0" w:type="dxa"/>
          <w:right w:w="0" w:type="dxa"/>
        </w:tblCellMar>
      </w:tblPr>
      <w:tblGrid>
        <w:gridCol w:w="124"/>
        <w:gridCol w:w="31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21"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001-32472</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DAWSON GEOPHYSICAL COMPANY</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5Hx5oG84BEWqMLRFMV3IxQ_2_2"/>
      <w:bookmarkStart w:id="4" w:name="Tc_a7W9QTcCnUGS8o26YWJo3A_2_0"/>
      <w:bookmarkStart w:id="5" w:name="Tc_uXDBXNr6MU6ynIULA357aQ_1_2"/>
      <w:bookmarkStart w:id="6" w:name="Tc_QJboLJLC90KKatKK2ZqPNA_1_0"/>
      <w:bookmarkStart w:id="7" w:name="_4c78b394_a6e1_427c_a3c1_05840c1e3725"/>
      <w:bookmarkStart w:id="8" w:name="Tc_5Hx5oG84BEWqMLRFMV3IxQ_2_2"/>
      <w:bookmarkStart w:id="9" w:name="Tc_a7W9QTcCnUGS8o26YWJo3A_2_0"/>
      <w:bookmarkStart w:id="10" w:name="Tc_uXDBXNr6MU6ynIULA357aQ_1_2"/>
      <w:bookmarkStart w:id="11" w:name="Tc_QJboLJLC90KKatKK2ZqPNA_1_0"/>
      <w:bookmarkStart w:id="12" w:name="_4c78b394_a6e1_427c_a3c1_05840c1e3725"/>
      <w:bookmarkEnd w:id="8"/>
      <w:bookmarkEnd w:id="9"/>
      <w:bookmarkEnd w:id="10"/>
      <w:bookmarkEnd w:id="11"/>
      <w:bookmarkEnd w:id="12"/>
    </w:p>
    <w:tbl>
      <w:tblPr>
        <w:tblW w:w="4023" w:type="dxa"/>
        <w:jc w:val="left"/>
        <w:tblInd w:w="0" w:type="dxa"/>
        <w:tblLayout w:type="fixed"/>
        <w:tblCellMar>
          <w:top w:w="0" w:type="dxa"/>
          <w:left w:w="0" w:type="dxa"/>
          <w:bottom w:w="0" w:type="dxa"/>
          <w:right w:w="0" w:type="dxa"/>
        </w:tblCellMar>
      </w:tblPr>
      <w:tblGrid>
        <w:gridCol w:w="2236"/>
        <w:gridCol w:w="346"/>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Texas</w:t>
            </w:r>
          </w:p>
        </w:tc>
        <w:tc>
          <w:tcPr>
            <w:tcW w:w="346" w:type="dxa"/>
            <w:tcBorders/>
            <w:vAlign w:val="center"/>
          </w:tcPr>
          <w:p>
            <w:pPr>
              <w:pStyle w:val="TableContents"/>
              <w:bidi w:val="0"/>
              <w:spacing w:before="0" w:after="0"/>
              <w:ind w:left="0" w:right="0" w:hanging="0"/>
              <w:jc w:val="left"/>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74-2095844</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508 West Wall, Suite 800, Midland, Texas</w:t>
      </w:r>
      <w:r>
        <w:rPr>
          <w:rFonts w:ascii="Times New Roman;Times;serif" w:hAnsi="Times New Roman;Times;serif"/>
          <w:sz w:val="20"/>
        </w:rPr>
        <w:t xml:space="preserve"> </w:t>
      </w:r>
      <w:r>
        <w:rPr>
          <w:rFonts w:ascii="Times New Roman;Times;serif" w:hAnsi="Times New Roman;Times;serif"/>
          <w:b/>
          <w:sz w:val="16"/>
        </w:rPr>
        <w:t>79701</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432-684-3000</w:t>
      </w:r>
    </w:p>
    <w:p>
      <w:pPr>
        <w:pStyle w:val="TextBody"/>
        <w:bidi w:val="0"/>
        <w:spacing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 xml:space="preserve">Securities registered pursuant to Section 12(b) of the Act: </w:t>
      </w:r>
    </w:p>
    <w:p>
      <w:pPr>
        <w:pStyle w:val="TextBody"/>
        <w:bidi w:val="0"/>
        <w:spacing w:lineRule="auto" w:line="314" w:before="0" w:after="120"/>
        <w:ind w:left="0" w:right="0" w:hanging="0"/>
        <w:jc w:val="center"/>
        <w:rPr/>
      </w:pPr>
      <w:r>
        <w:rPr/>
        <w:t>​</w:t>
      </w:r>
    </w:p>
    <w:p>
      <w:pPr>
        <w:pStyle w:val="Normal"/>
        <w:bidi w:val="0"/>
        <w:spacing w:before="0" w:after="0"/>
        <w:jc w:val="left"/>
        <w:rPr>
          <w:sz w:val="4"/>
          <w:szCs w:val="4"/>
        </w:rPr>
      </w:pPr>
      <w:r>
        <w:rPr>
          <w:sz w:val="4"/>
          <w:szCs w:val="4"/>
        </w:rPr>
      </w:r>
      <w:bookmarkStart w:id="13" w:name="Tc_66KSbTdrcEmYgSqHipG2Aw_0_2"/>
      <w:bookmarkStart w:id="14" w:name="Tc_QTEdBXHgukym5Kg8zmmYBQ_0_1"/>
      <w:bookmarkStart w:id="15" w:name="Tc_96KwPt1NyU-WOxL1QQRV2g_0_0"/>
      <w:bookmarkStart w:id="16" w:name="_ef3833ef_88e4_4214_995a_d635063c294f"/>
      <w:bookmarkStart w:id="17" w:name="Tc_66KSbTdrcEmYgSqHipG2Aw_0_2"/>
      <w:bookmarkStart w:id="18" w:name="Tc_QTEdBXHgukym5Kg8zmmYBQ_0_1"/>
      <w:bookmarkStart w:id="19" w:name="Tc_96KwPt1NyU-WOxL1QQRV2g_0_0"/>
      <w:bookmarkStart w:id="20" w:name="_ef3833ef_88e4_4214_995a_d635063c294f"/>
      <w:bookmarkEnd w:id="17"/>
      <w:bookmarkEnd w:id="18"/>
      <w:bookmarkEnd w:id="19"/>
      <w:bookmarkEnd w:id="20"/>
    </w:p>
    <w:tbl>
      <w:tblPr>
        <w:tblW w:w="5928" w:type="dxa"/>
        <w:jc w:val="left"/>
        <w:tblInd w:w="0" w:type="dxa"/>
        <w:tblLayout w:type="fixed"/>
        <w:tblCellMar>
          <w:top w:w="0" w:type="dxa"/>
          <w:left w:w="0" w:type="dxa"/>
          <w:bottom w:w="28" w:type="dxa"/>
          <w:right w:w="0" w:type="dxa"/>
        </w:tblCellMar>
      </w:tblPr>
      <w:tblGrid>
        <w:gridCol w:w="2461"/>
        <w:gridCol w:w="1201"/>
        <w:gridCol w:w="2266"/>
      </w:tblGrid>
      <w:tr>
        <w:trPr/>
        <w:tc>
          <w:tcPr>
            <w:tcW w:w="2461"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201" w:type="dxa"/>
            <w:tcBorders/>
            <w:tcMar>
              <w:bottom w:w="0" w:type="dxa"/>
            </w:tcMar>
            <w:vAlign w:val="center"/>
          </w:tcPr>
          <w:p>
            <w:pPr>
              <w:pStyle w:val="TableHeading"/>
              <w:bidi w:val="0"/>
              <w:spacing w:lineRule="auto" w:line="285" w:before="0" w:after="0"/>
              <w:ind w:left="0" w:right="0" w:hanging="0"/>
              <w:jc w:val="center"/>
              <w:rPr/>
            </w:pPr>
            <w:r>
              <w:rPr/>
              <w:t> </w:t>
            </w:r>
            <w:r>
              <w:rPr>
                <w:rFonts w:ascii="Times New Roman;Times;serif" w:hAnsi="Times New Roman;Times;serif"/>
                <w:b/>
                <w:sz w:val="12"/>
              </w:rPr>
              <w:t>Trading Symbol(s)   </w:t>
            </w:r>
          </w:p>
        </w:tc>
        <w:tc>
          <w:tcPr>
            <w:tcW w:w="226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val="false"/>
                <w:sz w:val="12"/>
              </w:rPr>
            </w:pPr>
            <w:r>
              <w:rPr>
                <w:rFonts w:ascii="Times New Roman;Times;serif" w:hAnsi="Times New Roman;Times;serif"/>
                <w:b/>
                <w:sz w:val="12"/>
              </w:rPr>
              <w:t>Name of Exchange on Which Registered</w:t>
            </w:r>
            <w:r>
              <w:rPr>
                <w:rFonts w:ascii="Times New Roman;Times;serif" w:hAnsi="Times New Roman;Times;serif"/>
                <w:b w:val="false"/>
                <w:sz w:val="12"/>
              </w:rPr>
              <w:t> </w:t>
            </w:r>
          </w:p>
        </w:tc>
      </w:tr>
      <w:tr>
        <w:trPr/>
        <w:tc>
          <w:tcPr>
            <w:tcW w:w="2461"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120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DWSN</w:t>
            </w:r>
          </w:p>
        </w:tc>
        <w:tc>
          <w:tcPr>
            <w:tcW w:w="22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w:t>
            </w:r>
          </w:p>
        </w:tc>
      </w:tr>
    </w:tbl>
    <w:p>
      <w:pPr>
        <w:pStyle w:val="TextBody"/>
        <w:bidi w:val="0"/>
        <w:spacing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 xml:space="preserve">None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submitted electronically every Interactive Data File required to be submitted pursuant to Rule 405 of Regulation S-T (§ 232 405 of the chapter) during the preceding 12 months (or for such shorter period that the registrant was required to submit such files).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575" w:type="dxa"/>
        <w:jc w:val="left"/>
        <w:tblInd w:w="0" w:type="dxa"/>
        <w:tblLayout w:type="fixed"/>
        <w:tblCellMar>
          <w:top w:w="0" w:type="dxa"/>
          <w:left w:w="0" w:type="dxa"/>
          <w:bottom w:w="0" w:type="dxa"/>
          <w:right w:w="0" w:type="dxa"/>
        </w:tblCellMar>
      </w:tblPr>
      <w:tblGrid>
        <w:gridCol w:w="1861"/>
        <w:gridCol w:w="1441"/>
        <w:gridCol w:w="1741"/>
        <w:gridCol w:w="2236"/>
        <w:gridCol w:w="2296"/>
      </w:tblGrid>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4532" w:type="dxa"/>
            <w:gridSpan w:val="2"/>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t>​</w:t>
      </w:r>
    </w:p>
    <w:p>
      <w:pPr>
        <w:pStyle w:val="TextBody"/>
        <w:bidi w:val="0"/>
        <w:spacing w:lineRule="auto" w:line="343" w:before="0" w:after="60"/>
        <w:ind w:left="0" w:right="0" w:firstLine="72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343" w:before="0" w:after="60"/>
        <w:ind w:left="0" w:right="0" w:firstLine="72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w:t>
      </w:r>
      <w:r>
        <w:rPr>
          <w:rFonts w:ascii="Times New Roman;Times;serif" w:hAnsi="Times New Roman;Times;serif"/>
          <w:sz w:val="20"/>
        </w:rPr>
        <w:t xml:space="preserve"> </w:t>
      </w:r>
      <w:r>
        <w:rPr>
          <w:rFonts w:ascii="Times New Roman;Times;serif" w:hAnsi="Times New Roman;Times;serif"/>
          <w:sz w:val="16"/>
        </w:rPr>
        <w:t>of the registrant included in the filing reflect the correction of an error to previously issued financial statements.</w:t>
      </w:r>
      <w:r>
        <w:rPr>
          <w:rFonts w:ascii="Times New Roman;Times;serif" w:hAnsi="Times New Roman;Times;serif"/>
          <w:sz w:val="20"/>
        </w:rPr>
        <w:t xml:space="preserve"> ☐</w:t>
      </w:r>
    </w:p>
    <w:p>
      <w:pPr>
        <w:pStyle w:val="TextBody"/>
        <w:bidi w:val="0"/>
        <w:spacing w:lineRule="auto" w:line="343" w:before="0" w:after="80"/>
        <w:ind w:left="0" w:right="0" w:firstLine="72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120" w:after="0"/>
        <w:ind w:left="0" w:right="0" w:firstLine="720"/>
        <w:jc w:val="left"/>
        <w:rPr>
          <w:rFonts w:ascii="Times New Roman;Times;serif" w:hAnsi="Times New Roman;Times;serif"/>
          <w:sz w:val="16"/>
        </w:rPr>
      </w:pPr>
      <w:r>
        <w:rPr>
          <w:rFonts w:ascii="Times New Roman;Times;serif" w:hAnsi="Times New Roman;Times;serif"/>
          <w:sz w:val="16"/>
        </w:rPr>
        <w:t>As of June 30, 2025, the aggregate market value of Dawson Geophysical Company common stock, par value $0.01 per share, held by non-affiliates (based upon the closing transaction price on Nasdaq) was approximately $9,180,000.</w:t>
      </w:r>
    </w:p>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On March 27, 2026, there were 31,052,840 shares of Dawson Geophysical Company common stock, $0.01 par value outstanding.</w:t>
      </w:r>
    </w:p>
    <w:p>
      <w:pPr>
        <w:pStyle w:val="TextBody"/>
        <w:bidi w:val="0"/>
        <w:spacing w:before="60" w:after="0"/>
        <w:ind w:left="0" w:right="0" w:firstLine="720"/>
        <w:jc w:val="left"/>
        <w:rPr>
          <w:rFonts w:ascii="Times New Roman;Times;serif" w:hAnsi="Times New Roman;Times;serif"/>
          <w:sz w:val="16"/>
        </w:rPr>
      </w:pPr>
      <w:r>
        <w:rPr>
          <w:rFonts w:ascii="Times New Roman;Times;serif" w:hAnsi="Times New Roman;Times;serif"/>
          <w:sz w:val="16"/>
        </w:rPr>
        <w:t>As used in this report, the terms “we,” “our,” “us,” “Dawson” and the “Company” refer to Dawson Geophysical Company unless the context indicates otherwise.</w:t>
      </w:r>
    </w:p>
    <w:p>
      <w:pPr>
        <w:pStyle w:val="TextBody"/>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5"/>
        </w:rPr>
        <w:t>Portions of the Registrant’s Proxy Statement for its 2026 Annual Meeting of Shareholders are incorporated by reference into Part III of this Annual Report on Form 10-K</w:t>
      </w: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Toc"/>
      <w:bookmarkStart w:id="22" w:name="_8855f76f_d756_4533_a82a_601df1d2274f"/>
      <w:bookmarkEnd w:id="21"/>
      <w:bookmarkEnd w:id="22"/>
      <w:r>
        <w:rPr>
          <w:rFonts w:ascii="Times New Roman;Times;serif" w:hAnsi="Times New Roman;Times;serif"/>
          <w:b/>
          <w:sz w:val="20"/>
        </w:rPr>
        <w:t>TABLE OF CONTENTS</w:t>
      </w:r>
    </w:p>
    <w:tbl>
      <w:tblPr>
        <w:tblW w:w="9573" w:type="dxa"/>
        <w:jc w:val="left"/>
        <w:tblInd w:w="0" w:type="dxa"/>
        <w:tblLayout w:type="fixed"/>
        <w:tblCellMar>
          <w:top w:w="0" w:type="dxa"/>
          <w:left w:w="0" w:type="dxa"/>
          <w:bottom w:w="0" w:type="dxa"/>
          <w:right w:w="0" w:type="dxa"/>
        </w:tblCellMar>
      </w:tblPr>
      <w:tblGrid>
        <w:gridCol w:w="811"/>
        <w:gridCol w:w="8251"/>
        <w:gridCol w:w="511"/>
      </w:tblGrid>
      <w:tr>
        <w:trPr/>
        <w:tc>
          <w:tcPr>
            <w:tcW w:w="811" w:type="dxa"/>
            <w:tcBorders/>
            <w:vAlign w:val="center"/>
          </w:tcPr>
          <w:p>
            <w:pPr>
              <w:pStyle w:val="TableContents"/>
              <w:bidi w:val="0"/>
              <w:spacing w:before="0" w:after="20"/>
              <w:ind w:left="0" w:right="0" w:hanging="0"/>
              <w:jc w:val="center"/>
              <w:rPr/>
            </w:pPr>
            <w:r>
              <w:rPr/>
              <w:t>​</w:t>
            </w:r>
          </w:p>
        </w:tc>
        <w:tc>
          <w:tcPr>
            <w:tcW w:w="8251" w:type="dxa"/>
            <w:tcBorders/>
            <w:vAlign w:val="center"/>
          </w:tcPr>
          <w:p>
            <w:pPr>
              <w:pStyle w:val="TableContents"/>
              <w:bidi w:val="0"/>
              <w:spacing w:before="0" w:after="2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_810783">
              <w:r>
                <w:rPr>
                  <w:rStyle w:val="InternetLink"/>
                  <w:rFonts w:ascii="Times New Roman;Times;serif" w:hAnsi="Times New Roman;Times;serif"/>
                  <w:b/>
                  <w:i w:val="false"/>
                  <w:caps w:val="false"/>
                  <w:smallCaps w:val="false"/>
                  <w:sz w:val="20"/>
                </w:rPr>
                <w:t>PART I</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BUSINESS_136806">
              <w:r>
                <w:rPr>
                  <w:rStyle w:val="InternetLink"/>
                  <w:rFonts w:ascii="Times New Roman;Times;serif" w:hAnsi="Times New Roman;Times;serif"/>
                  <w:b w:val="false"/>
                  <w:i w:val="false"/>
                  <w:caps w:val="false"/>
                  <w:smallCaps w:val="false"/>
                  <w:sz w:val="20"/>
                </w:rPr>
                <w:t>Item 1.</w:t>
              </w:r>
            </w:hyperlink>
          </w:p>
        </w:tc>
        <w:tc>
          <w:tcPr>
            <w:tcW w:w="8251" w:type="dxa"/>
            <w:tcBorders/>
            <w:vAlign w:val="center"/>
          </w:tcPr>
          <w:p>
            <w:pPr>
              <w:pStyle w:val="TableContents"/>
              <w:bidi w:val="0"/>
              <w:spacing w:before="0" w:after="0"/>
              <w:ind w:left="0" w:right="0" w:hanging="0"/>
              <w:jc w:val="left"/>
              <w:rPr/>
            </w:pPr>
            <w:hyperlink w:anchor="Item1BUSINESS_136806">
              <w:r>
                <w:rPr>
                  <w:rStyle w:val="InternetLink"/>
                  <w:rFonts w:ascii="Times New Roman;Times;serif" w:hAnsi="Times New Roman;Times;serif"/>
                  <w:b w:val="false"/>
                  <w:i w:val="false"/>
                  <w:caps w:val="false"/>
                  <w:smallCaps w:val="false"/>
                  <w:sz w:val="20"/>
                </w:rPr>
                <w:t>Business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pBdr/>
              <w:bidi w:val="0"/>
              <w:spacing w:before="0" w:after="0"/>
              <w:ind w:left="0" w:right="0" w:hanging="0"/>
              <w:jc w:val="left"/>
              <w:rPr/>
            </w:pPr>
            <w:hyperlink w:anchor="Item1ARISKFACTORS_789479">
              <w:r>
                <w:rPr>
                  <w:rStyle w:val="InternetLink"/>
                  <w:rFonts w:ascii="Times New Roman;Times;serif" w:hAnsi="Times New Roman;Times;serif"/>
                  <w:b w:val="false"/>
                  <w:i w:val="false"/>
                  <w:caps w:val="false"/>
                  <w:smallCaps w:val="false"/>
                  <w:sz w:val="20"/>
                </w:rPr>
                <w:t>Item 1A.</w:t>
              </w:r>
            </w:hyperlink>
          </w:p>
        </w:tc>
        <w:tc>
          <w:tcPr>
            <w:tcW w:w="8251" w:type="dxa"/>
            <w:tcBorders/>
            <w:vAlign w:val="center"/>
          </w:tcPr>
          <w:p>
            <w:pPr>
              <w:pStyle w:val="TableContents"/>
              <w:bidi w:val="0"/>
              <w:spacing w:before="0" w:after="0"/>
              <w:ind w:left="0" w:right="0" w:hanging="0"/>
              <w:jc w:val="left"/>
              <w:rPr/>
            </w:pPr>
            <w:hyperlink w:anchor="Item1ARISKFACTORS_789479">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pBdr/>
              <w:bidi w:val="0"/>
              <w:spacing w:before="0" w:after="0"/>
              <w:ind w:left="0" w:right="0" w:hanging="0"/>
              <w:jc w:val="left"/>
              <w:rPr/>
            </w:pPr>
            <w:hyperlink w:anchor="Item1BUNRESOLVEDSTAFFCOMMENTS_103023">
              <w:r>
                <w:rPr>
                  <w:rStyle w:val="InternetLink"/>
                  <w:rFonts w:ascii="Times New Roman;Times;serif" w:hAnsi="Times New Roman;Times;serif"/>
                  <w:b w:val="false"/>
                  <w:i w:val="false"/>
                  <w:caps w:val="false"/>
                  <w:smallCaps w:val="false"/>
                  <w:sz w:val="20"/>
                </w:rPr>
                <w:t>Item 1B.</w:t>
              </w:r>
            </w:hyperlink>
          </w:p>
        </w:tc>
        <w:tc>
          <w:tcPr>
            <w:tcW w:w="8251" w:type="dxa"/>
            <w:tcBorders/>
            <w:vAlign w:val="center"/>
          </w:tcPr>
          <w:p>
            <w:pPr>
              <w:pStyle w:val="TableContents"/>
              <w:bidi w:val="0"/>
              <w:spacing w:before="0" w:after="0"/>
              <w:ind w:left="0" w:right="0" w:hanging="0"/>
              <w:jc w:val="left"/>
              <w:rPr/>
            </w:pPr>
            <w:hyperlink w:anchor="Item1BUNRESOLVEDSTAFFCOMMENTS_103023">
              <w:r>
                <w:rPr>
                  <w:rStyle w:val="InternetLink"/>
                  <w:rFonts w:ascii="Times New Roman;Times;serif" w:hAnsi="Times New Roman;Times;serif"/>
                  <w:b w:val="false"/>
                  <w:i w:val="false"/>
                  <w:caps w:val="false"/>
                  <w:smallCaps w:val="false"/>
                  <w:sz w:val="20"/>
                </w:rPr>
                <w:t>Unresolved Staff Comments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pBdr/>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251"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pBdr/>
              <w:bidi w:val="0"/>
              <w:spacing w:before="0" w:after="0"/>
              <w:ind w:left="0" w:right="0" w:hanging="0"/>
              <w:jc w:val="left"/>
              <w:rPr/>
            </w:pPr>
            <w:hyperlink w:anchor="Item2PROPERTIES_99845">
              <w:r>
                <w:rPr>
                  <w:rStyle w:val="InternetLink"/>
                  <w:rFonts w:ascii="Times New Roman;Times;serif" w:hAnsi="Times New Roman;Times;serif"/>
                  <w:b w:val="false"/>
                  <w:i w:val="false"/>
                  <w:caps w:val="false"/>
                  <w:smallCaps w:val="false"/>
                  <w:sz w:val="20"/>
                </w:rPr>
                <w:t>Item 2.</w:t>
              </w:r>
            </w:hyperlink>
          </w:p>
        </w:tc>
        <w:tc>
          <w:tcPr>
            <w:tcW w:w="8251" w:type="dxa"/>
            <w:tcBorders/>
            <w:vAlign w:val="center"/>
          </w:tcPr>
          <w:p>
            <w:pPr>
              <w:pStyle w:val="TableContents"/>
              <w:bidi w:val="0"/>
              <w:spacing w:before="0" w:after="0"/>
              <w:ind w:left="0" w:right="0" w:hanging="0"/>
              <w:jc w:val="left"/>
              <w:rPr/>
            </w:pPr>
            <w:hyperlink w:anchor="Item2PROPERTIES_99845">
              <w:r>
                <w:rPr>
                  <w:rStyle w:val="InternetLink"/>
                  <w:rFonts w:ascii="Times New Roman;Times;serif" w:hAnsi="Times New Roman;Times;serif"/>
                  <w:b w:val="false"/>
                  <w:i w:val="false"/>
                  <w:caps w:val="false"/>
                  <w:smallCaps w:val="false"/>
                  <w:sz w:val="20"/>
                </w:rPr>
                <w:t>Properties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pBdr/>
              <w:bidi w:val="0"/>
              <w:spacing w:before="0" w:after="0"/>
              <w:ind w:left="0" w:right="0" w:hanging="0"/>
              <w:jc w:val="left"/>
              <w:rPr/>
            </w:pPr>
            <w:hyperlink w:anchor="Item3LEGALPROCEEDINGS_473150">
              <w:r>
                <w:rPr>
                  <w:rStyle w:val="InternetLink"/>
                  <w:rFonts w:ascii="Times New Roman;Times;serif" w:hAnsi="Times New Roman;Times;serif"/>
                  <w:b w:val="false"/>
                  <w:i w:val="false"/>
                  <w:caps w:val="false"/>
                  <w:smallCaps w:val="false"/>
                  <w:sz w:val="20"/>
                </w:rPr>
                <w:t>Item 3.</w:t>
              </w:r>
            </w:hyperlink>
          </w:p>
        </w:tc>
        <w:tc>
          <w:tcPr>
            <w:tcW w:w="8251" w:type="dxa"/>
            <w:tcBorders/>
            <w:vAlign w:val="center"/>
          </w:tcPr>
          <w:p>
            <w:pPr>
              <w:pStyle w:val="TableContents"/>
              <w:bidi w:val="0"/>
              <w:spacing w:before="0" w:after="0"/>
              <w:ind w:left="0" w:right="0" w:hanging="0"/>
              <w:jc w:val="left"/>
              <w:rPr/>
            </w:pPr>
            <w:hyperlink w:anchor="Item3LEGALPROCEEDINGS_473150">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pBdr/>
              <w:bidi w:val="0"/>
              <w:spacing w:before="0" w:after="0"/>
              <w:ind w:left="0" w:right="0" w:hanging="0"/>
              <w:jc w:val="left"/>
              <w:rPr/>
            </w:pPr>
            <w:hyperlink w:anchor="Item4MINESAFETYDISCLOSURES_538585">
              <w:r>
                <w:rPr>
                  <w:rStyle w:val="InternetLink"/>
                  <w:rFonts w:ascii="Times New Roman;Times;serif" w:hAnsi="Times New Roman;Times;serif"/>
                  <w:b w:val="false"/>
                  <w:i w:val="false"/>
                  <w:caps w:val="false"/>
                  <w:smallCaps w:val="false"/>
                  <w:sz w:val="20"/>
                </w:rPr>
                <w:t>Item 4.</w:t>
              </w:r>
            </w:hyperlink>
          </w:p>
        </w:tc>
        <w:tc>
          <w:tcPr>
            <w:tcW w:w="8251" w:type="dxa"/>
            <w:tcBorders/>
            <w:vAlign w:val="center"/>
          </w:tcPr>
          <w:p>
            <w:pPr>
              <w:pStyle w:val="TableContents"/>
              <w:bidi w:val="0"/>
              <w:spacing w:before="0" w:after="0"/>
              <w:ind w:left="0" w:right="0" w:hanging="0"/>
              <w:jc w:val="left"/>
              <w:rPr/>
            </w:pPr>
            <w:hyperlink w:anchor="Item4MINESAFETYDISCLOSURES_538585">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I_146845">
              <w:r>
                <w:rPr>
                  <w:rStyle w:val="InternetLink"/>
                  <w:rFonts w:ascii="Times New Roman;Times;serif" w:hAnsi="Times New Roman;Times;serif"/>
                  <w:b/>
                  <w:i w:val="false"/>
                  <w:caps w:val="false"/>
                  <w:smallCaps w:val="false"/>
                  <w:sz w:val="20"/>
                </w:rPr>
                <w:t>PART II</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MARKETFOROURCOMMONEQUITY_556225">
              <w:r>
                <w:rPr>
                  <w:rStyle w:val="InternetLink"/>
                  <w:rFonts w:ascii="Times New Roman;Times;serif" w:hAnsi="Times New Roman;Times;serif"/>
                  <w:b w:val="false"/>
                  <w:i w:val="false"/>
                  <w:caps w:val="false"/>
                  <w:smallCaps w:val="false"/>
                  <w:sz w:val="20"/>
                </w:rPr>
                <w:t>Item 5.</w:t>
              </w:r>
            </w:hyperlink>
          </w:p>
        </w:tc>
        <w:tc>
          <w:tcPr>
            <w:tcW w:w="8251" w:type="dxa"/>
            <w:tcBorders/>
            <w:vAlign w:val="center"/>
          </w:tcPr>
          <w:p>
            <w:pPr>
              <w:pStyle w:val="TableContents"/>
              <w:bidi w:val="0"/>
              <w:spacing w:before="0" w:after="0"/>
              <w:ind w:left="0" w:right="0" w:hanging="0"/>
              <w:jc w:val="left"/>
              <w:rPr/>
            </w:pPr>
            <w:hyperlink w:anchor="Item5MARKETFOROURCOMMONEQUITY_556225">
              <w:r>
                <w:rPr>
                  <w:rStyle w:val="InternetLink"/>
                  <w:rFonts w:ascii="Times New Roman;Times;serif" w:hAnsi="Times New Roman;Times;serif"/>
                  <w:b w:val="false"/>
                  <w:i w:val="false"/>
                  <w:caps w:val="false"/>
                  <w:smallCaps w:val="false"/>
                  <w:sz w:val="20"/>
                </w:rPr>
                <w:t>Market for Our Common Equity and Related Stockholder Matters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pBdr/>
              <w:bidi w:val="0"/>
              <w:spacing w:before="0" w:after="0"/>
              <w:ind w:left="0" w:right="0" w:hanging="0"/>
              <w:jc w:val="left"/>
              <w:rPr/>
            </w:pPr>
            <w:hyperlink w:anchor="Item6SELECTEDFINANCIALDATA_129736">
              <w:r>
                <w:rPr>
                  <w:rStyle w:val="InternetLink"/>
                  <w:rFonts w:ascii="Times New Roman;Times;serif" w:hAnsi="Times New Roman;Times;serif"/>
                  <w:b w:val="false"/>
                  <w:i w:val="false"/>
                  <w:caps w:val="false"/>
                  <w:smallCaps w:val="false"/>
                  <w:sz w:val="20"/>
                </w:rPr>
                <w:t>Item 6.</w:t>
              </w:r>
            </w:hyperlink>
          </w:p>
        </w:tc>
        <w:tc>
          <w:tcPr>
            <w:tcW w:w="8251" w:type="dxa"/>
            <w:tcBorders/>
            <w:vAlign w:val="center"/>
          </w:tcPr>
          <w:p>
            <w:pPr>
              <w:pStyle w:val="TableContents"/>
              <w:bidi w:val="0"/>
              <w:spacing w:before="0" w:after="0"/>
              <w:ind w:left="0" w:right="0" w:hanging="0"/>
              <w:jc w:val="left"/>
              <w:rPr/>
            </w:pPr>
            <w:r>
              <w:rPr>
                <w:rFonts w:ascii="Times New Roman;Times;serif" w:hAnsi="Times New Roman;Times;serif"/>
                <w:sz w:val="20"/>
              </w:rPr>
              <w:t>[</w:t>
            </w:r>
            <w:hyperlink w:anchor="Item6SELECTEDFINANCIALDATA_129736">
              <w:r>
                <w:rPr>
                  <w:rStyle w:val="InternetLink"/>
                  <w:rFonts w:ascii="Times New Roman;Times;serif" w:hAnsi="Times New Roman;Times;serif"/>
                  <w:b w:val="false"/>
                  <w:i w:val="false"/>
                  <w:caps w:val="false"/>
                  <w:smallCaps w:val="false"/>
                  <w:sz w:val="20"/>
                </w:rPr>
                <w:t xml:space="preserve">Reserved]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pBdr/>
              <w:bidi w:val="0"/>
              <w:spacing w:before="0" w:after="0"/>
              <w:ind w:left="0" w:right="0" w:hanging="0"/>
              <w:jc w:val="left"/>
              <w:rPr/>
            </w:pPr>
            <w:hyperlink w:anchor="Item7MANAGEMENTSDISCUSSION_921165">
              <w:r>
                <w:rPr>
                  <w:rStyle w:val="InternetLink"/>
                  <w:rFonts w:ascii="Times New Roman;Times;serif" w:hAnsi="Times New Roman;Times;serif"/>
                  <w:b w:val="false"/>
                  <w:i w:val="false"/>
                  <w:caps w:val="false"/>
                  <w:smallCaps w:val="false"/>
                  <w:sz w:val="20"/>
                </w:rPr>
                <w:t>Item 7.</w:t>
              </w:r>
            </w:hyperlink>
          </w:p>
        </w:tc>
        <w:tc>
          <w:tcPr>
            <w:tcW w:w="8251" w:type="dxa"/>
            <w:tcBorders/>
            <w:vAlign w:val="center"/>
          </w:tcPr>
          <w:p>
            <w:pPr>
              <w:pStyle w:val="TableContents"/>
              <w:bidi w:val="0"/>
              <w:spacing w:before="0" w:after="0"/>
              <w:ind w:left="0" w:right="0" w:hanging="0"/>
              <w:jc w:val="left"/>
              <w:rPr/>
            </w:pPr>
            <w:hyperlink w:anchor="Item7MANAGEMENTSDISCUSSION_921165">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pBdr/>
              <w:bidi w:val="0"/>
              <w:spacing w:before="0" w:after="0"/>
              <w:ind w:left="0" w:right="0" w:hanging="0"/>
              <w:jc w:val="left"/>
              <w:rPr/>
            </w:pPr>
            <w:hyperlink w:anchor="Item7AQUANTITATIVEANDQUALITATIVE_580097">
              <w:r>
                <w:rPr>
                  <w:rStyle w:val="InternetLink"/>
                  <w:rFonts w:ascii="Times New Roman;Times;serif" w:hAnsi="Times New Roman;Times;serif"/>
                  <w:b w:val="false"/>
                  <w:i w:val="false"/>
                  <w:caps w:val="false"/>
                  <w:smallCaps w:val="false"/>
                  <w:sz w:val="20"/>
                </w:rPr>
                <w:t>Item 7A.</w:t>
              </w:r>
            </w:hyperlink>
          </w:p>
        </w:tc>
        <w:tc>
          <w:tcPr>
            <w:tcW w:w="8251" w:type="dxa"/>
            <w:tcBorders/>
            <w:vAlign w:val="center"/>
          </w:tcPr>
          <w:p>
            <w:pPr>
              <w:pStyle w:val="TableContents"/>
              <w:bidi w:val="0"/>
              <w:spacing w:before="0" w:after="0"/>
              <w:ind w:left="0" w:right="0" w:hanging="0"/>
              <w:jc w:val="left"/>
              <w:rPr/>
            </w:pPr>
            <w:hyperlink w:anchor="Item7AQUANTITATIVEANDQUALITATIVE_58009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pBdr/>
              <w:bidi w:val="0"/>
              <w:spacing w:before="0" w:after="0"/>
              <w:ind w:left="0" w:right="0" w:hanging="0"/>
              <w:jc w:val="left"/>
              <w:rPr/>
            </w:pPr>
            <w:hyperlink w:anchor="Item8FINANCIALSTATEMENTS_39780">
              <w:r>
                <w:rPr>
                  <w:rStyle w:val="InternetLink"/>
                  <w:rFonts w:ascii="Times New Roman;Times;serif" w:hAnsi="Times New Roman;Times;serif"/>
                  <w:b w:val="false"/>
                  <w:i w:val="false"/>
                  <w:caps w:val="false"/>
                  <w:smallCaps w:val="false"/>
                  <w:sz w:val="20"/>
                </w:rPr>
                <w:t>Item 8.</w:t>
              </w:r>
            </w:hyperlink>
          </w:p>
        </w:tc>
        <w:tc>
          <w:tcPr>
            <w:tcW w:w="8251" w:type="dxa"/>
            <w:tcBorders/>
            <w:vAlign w:val="center"/>
          </w:tcPr>
          <w:p>
            <w:pPr>
              <w:pStyle w:val="TableContents"/>
              <w:bidi w:val="0"/>
              <w:spacing w:before="0" w:after="0"/>
              <w:ind w:left="0" w:right="0" w:hanging="0"/>
              <w:jc w:val="left"/>
              <w:rPr/>
            </w:pPr>
            <w:hyperlink w:anchor="Item8FINANCIALSTATEMENTS_39780">
              <w:r>
                <w:rPr>
                  <w:rStyle w:val="InternetLink"/>
                  <w:rFonts w:ascii="Times New Roman;Times;serif" w:hAnsi="Times New Roman;Times;serif"/>
                  <w:b w:val="false"/>
                  <w:i w:val="false"/>
                  <w:caps w:val="false"/>
                  <w:smallCaps w:val="false"/>
                  <w:sz w:val="20"/>
                </w:rPr>
                <w:t>Financial Statements and Supplementary Data</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0"/>
              <w:ind w:left="0" w:right="0" w:hanging="0"/>
              <w:jc w:val="left"/>
              <w:rPr/>
            </w:pPr>
            <w:hyperlink w:anchor="Item9CHANGESIN_623559">
              <w:r>
                <w:rPr>
                  <w:rStyle w:val="InternetLink"/>
                  <w:rFonts w:ascii="Times New Roman;Times;serif" w:hAnsi="Times New Roman;Times;serif"/>
                  <w:b w:val="false"/>
                  <w:i w:val="false"/>
                  <w:caps w:val="false"/>
                  <w:smallCaps w:val="false"/>
                  <w:sz w:val="20"/>
                </w:rPr>
                <w:t>Item 9.</w:t>
              </w:r>
            </w:hyperlink>
          </w:p>
        </w:tc>
        <w:tc>
          <w:tcPr>
            <w:tcW w:w="8251" w:type="dxa"/>
            <w:tcBorders/>
            <w:vAlign w:val="center"/>
          </w:tcPr>
          <w:p>
            <w:pPr>
              <w:pStyle w:val="TableContents"/>
              <w:bidi w:val="0"/>
              <w:spacing w:before="0" w:after="0"/>
              <w:ind w:left="0" w:right="0" w:hanging="0"/>
              <w:jc w:val="left"/>
              <w:rPr/>
            </w:pPr>
            <w:hyperlink w:anchor="Item9CHANGESIN_623559">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0"/>
              <w:ind w:left="0" w:right="0" w:hanging="0"/>
              <w:jc w:val="left"/>
              <w:rPr/>
            </w:pPr>
            <w:hyperlink w:anchor="Item9ACONTROLSANDPROCEDURES_987135">
              <w:r>
                <w:rPr>
                  <w:rStyle w:val="InternetLink"/>
                  <w:rFonts w:ascii="Times New Roman;Times;serif" w:hAnsi="Times New Roman;Times;serif"/>
                  <w:b w:val="false"/>
                  <w:i w:val="false"/>
                  <w:caps w:val="false"/>
                  <w:smallCaps w:val="false"/>
                  <w:sz w:val="20"/>
                </w:rPr>
                <w:t>Item 9A.</w:t>
              </w:r>
            </w:hyperlink>
          </w:p>
        </w:tc>
        <w:tc>
          <w:tcPr>
            <w:tcW w:w="8251" w:type="dxa"/>
            <w:tcBorders/>
            <w:vAlign w:val="center"/>
          </w:tcPr>
          <w:p>
            <w:pPr>
              <w:pStyle w:val="TableContents"/>
              <w:bidi w:val="0"/>
              <w:spacing w:before="0" w:after="0"/>
              <w:ind w:left="0" w:right="0" w:hanging="0"/>
              <w:jc w:val="left"/>
              <w:rPr/>
            </w:pPr>
            <w:hyperlink w:anchor="Item9ACONTROLSANDPROCEDURES_987135">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0"/>
              <w:ind w:left="0" w:right="0" w:hanging="0"/>
              <w:jc w:val="left"/>
              <w:rPr/>
            </w:pPr>
            <w:hyperlink w:anchor="Item9BOTHERINFORMATION_781586">
              <w:r>
                <w:rPr>
                  <w:rStyle w:val="InternetLink"/>
                  <w:rFonts w:ascii="Times New Roman;Times;serif" w:hAnsi="Times New Roman;Times;serif"/>
                  <w:b w:val="false"/>
                  <w:i w:val="false"/>
                  <w:caps w:val="false"/>
                  <w:smallCaps w:val="false"/>
                  <w:sz w:val="20"/>
                </w:rPr>
                <w:t>Item 9B.</w:t>
              </w:r>
            </w:hyperlink>
          </w:p>
        </w:tc>
        <w:tc>
          <w:tcPr>
            <w:tcW w:w="8251" w:type="dxa"/>
            <w:tcBorders/>
            <w:vAlign w:val="center"/>
          </w:tcPr>
          <w:p>
            <w:pPr>
              <w:pStyle w:val="TableContents"/>
              <w:bidi w:val="0"/>
              <w:spacing w:before="0" w:after="0"/>
              <w:ind w:left="0" w:right="0" w:hanging="0"/>
              <w:jc w:val="left"/>
              <w:rPr/>
            </w:pPr>
            <w:hyperlink w:anchor="Item9BOTHERINFORMATION_781586">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pBdr/>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251"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II_5883">
              <w:r>
                <w:rPr>
                  <w:rStyle w:val="InternetLink"/>
                  <w:rFonts w:ascii="Times New Roman;Times;serif" w:hAnsi="Times New Roman;Times;serif"/>
                  <w:b/>
                  <w:i w:val="false"/>
                  <w:caps w:val="false"/>
                  <w:smallCaps w:val="false"/>
                  <w:sz w:val="20"/>
                </w:rPr>
                <w:t>PART III</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0DIRECTORSEXECUTIVEOFFICERS_410981">
              <w:r>
                <w:rPr>
                  <w:rStyle w:val="InternetLink"/>
                  <w:rFonts w:ascii="Times New Roman;Times;serif" w:hAnsi="Times New Roman;Times;serif"/>
                  <w:b w:val="false"/>
                  <w:i w:val="false"/>
                  <w:caps w:val="false"/>
                  <w:smallCaps w:val="false"/>
                  <w:sz w:val="20"/>
                </w:rPr>
                <w:t>Item 10.</w:t>
              </w:r>
            </w:hyperlink>
          </w:p>
        </w:tc>
        <w:tc>
          <w:tcPr>
            <w:tcW w:w="8251" w:type="dxa"/>
            <w:tcBorders/>
            <w:vAlign w:val="center"/>
          </w:tcPr>
          <w:p>
            <w:pPr>
              <w:pStyle w:val="TableContents"/>
              <w:bidi w:val="0"/>
              <w:spacing w:before="0" w:after="0"/>
              <w:ind w:left="0" w:right="0" w:hanging="0"/>
              <w:jc w:val="left"/>
              <w:rPr/>
            </w:pPr>
            <w:hyperlink w:anchor="Item10DIRECTORSEXECUTIVEOFFICERS_410981">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hyperlink w:anchor="Item11EXECUTIVECOMPENSATION_76744">
              <w:r>
                <w:rPr>
                  <w:rStyle w:val="InternetLink"/>
                  <w:rFonts w:ascii="Times New Roman;Times;serif" w:hAnsi="Times New Roman;Times;serif"/>
                  <w:b w:val="false"/>
                  <w:i w:val="false"/>
                  <w:caps w:val="false"/>
                  <w:smallCaps w:val="false"/>
                  <w:sz w:val="20"/>
                </w:rPr>
                <w:t>Item 11.</w:t>
              </w:r>
            </w:hyperlink>
          </w:p>
        </w:tc>
        <w:tc>
          <w:tcPr>
            <w:tcW w:w="8251" w:type="dxa"/>
            <w:tcBorders/>
            <w:vAlign w:val="center"/>
          </w:tcPr>
          <w:p>
            <w:pPr>
              <w:pStyle w:val="TableContents"/>
              <w:bidi w:val="0"/>
              <w:spacing w:before="0" w:after="0"/>
              <w:ind w:left="0" w:right="0" w:hanging="0"/>
              <w:jc w:val="left"/>
              <w:rPr/>
            </w:pPr>
            <w:hyperlink w:anchor="Item11EXECUTIVECOMPENSATION_76744">
              <w:r>
                <w:rPr>
                  <w:rStyle w:val="InternetLink"/>
                  <w:rFonts w:ascii="Times New Roman;Times;serif" w:hAnsi="Times New Roman;Times;serif"/>
                  <w:b w:val="false"/>
                  <w:i w:val="false"/>
                  <w:caps w:val="false"/>
                  <w:smallCaps w:val="false"/>
                  <w:sz w:val="20"/>
                </w:rPr>
                <w:t>Executive Compensation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25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hyperlink w:anchor="Item13CERTAINRELATIONSHIPS_397008">
              <w:r>
                <w:rPr>
                  <w:rStyle w:val="InternetLink"/>
                  <w:rFonts w:ascii="Times New Roman;Times;serif" w:hAnsi="Times New Roman;Times;serif"/>
                  <w:b w:val="false"/>
                  <w:i w:val="false"/>
                  <w:caps w:val="false"/>
                  <w:smallCaps w:val="false"/>
                  <w:sz w:val="20"/>
                </w:rPr>
                <w:t>Item 13.</w:t>
              </w:r>
            </w:hyperlink>
          </w:p>
        </w:tc>
        <w:tc>
          <w:tcPr>
            <w:tcW w:w="8251" w:type="dxa"/>
            <w:tcBorders/>
            <w:vAlign w:val="center"/>
          </w:tcPr>
          <w:p>
            <w:pPr>
              <w:pStyle w:val="TableContents"/>
              <w:bidi w:val="0"/>
              <w:spacing w:before="0" w:after="0"/>
              <w:ind w:left="0" w:right="0" w:hanging="0"/>
              <w:jc w:val="left"/>
              <w:rPr/>
            </w:pPr>
            <w:hyperlink w:anchor="Item13CERTAINRELATIONSHIPS_397008">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hyperlink w:anchor="Item14PRINCIPALACCOUNTINGFEES_336758">
              <w:r>
                <w:rPr>
                  <w:rStyle w:val="InternetLink"/>
                  <w:rFonts w:ascii="Times New Roman;Times;serif" w:hAnsi="Times New Roman;Times;serif"/>
                  <w:b w:val="false"/>
                  <w:i w:val="false"/>
                  <w:caps w:val="false"/>
                  <w:smallCaps w:val="false"/>
                  <w:sz w:val="20"/>
                </w:rPr>
                <w:t>Item 14.</w:t>
              </w:r>
            </w:hyperlink>
          </w:p>
        </w:tc>
        <w:tc>
          <w:tcPr>
            <w:tcW w:w="8251" w:type="dxa"/>
            <w:tcBorders/>
            <w:vAlign w:val="center"/>
          </w:tcPr>
          <w:p>
            <w:pPr>
              <w:pStyle w:val="TableContents"/>
              <w:bidi w:val="0"/>
              <w:spacing w:before="0" w:after="0"/>
              <w:ind w:left="0" w:right="0" w:hanging="0"/>
              <w:jc w:val="left"/>
              <w:rPr/>
            </w:pPr>
            <w:hyperlink w:anchor="Item14PRINCIPALACCOUNTINGFEES_336758">
              <w:r>
                <w:rPr>
                  <w:rStyle w:val="InternetLink"/>
                  <w:rFonts w:ascii="Times New Roman;Times;serif" w:hAnsi="Times New Roman;Times;serif"/>
                  <w:b w:val="false"/>
                  <w:i w:val="false"/>
                  <w:caps w:val="false"/>
                  <w:smallCaps w:val="false"/>
                  <w:sz w:val="20"/>
                </w:rPr>
                <w:t>Principal Accounting Fees and Services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V_35743">
              <w:r>
                <w:rPr>
                  <w:rStyle w:val="InternetLink"/>
                  <w:rFonts w:ascii="Times New Roman;Times;serif" w:hAnsi="Times New Roman;Times;serif"/>
                  <w:b/>
                  <w:i w:val="false"/>
                  <w:caps w:val="false"/>
                  <w:smallCaps w:val="false"/>
                  <w:sz w:val="20"/>
                </w:rPr>
                <w:t>PART IV</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5EXHIBITS_30936">
              <w:r>
                <w:rPr>
                  <w:rStyle w:val="InternetLink"/>
                  <w:rFonts w:ascii="Times New Roman;Times;serif" w:hAnsi="Times New Roman;Times;serif"/>
                  <w:b w:val="false"/>
                  <w:i w:val="false"/>
                  <w:caps w:val="false"/>
                  <w:smallCaps w:val="false"/>
                  <w:sz w:val="20"/>
                </w:rPr>
                <w:t>Item 15.</w:t>
              </w:r>
            </w:hyperlink>
          </w:p>
        </w:tc>
        <w:tc>
          <w:tcPr>
            <w:tcW w:w="8251" w:type="dxa"/>
            <w:tcBorders/>
            <w:vAlign w:val="center"/>
          </w:tcPr>
          <w:p>
            <w:pPr>
              <w:pStyle w:val="TableContents"/>
              <w:bidi w:val="0"/>
              <w:spacing w:before="0" w:after="0"/>
              <w:ind w:left="0" w:right="0" w:hanging="0"/>
              <w:jc w:val="left"/>
              <w:rPr/>
            </w:pPr>
            <w:hyperlink w:anchor="Item15EXHIBITS_30936">
              <w:r>
                <w:rPr>
                  <w:rStyle w:val="InternetLink"/>
                  <w:rFonts w:ascii="Times New Roman;Times;serif" w:hAnsi="Times New Roman;Times;serif"/>
                  <w:b w:val="false"/>
                  <w:i w:val="false"/>
                  <w:caps w:val="false"/>
                  <w:smallCaps w:val="false"/>
                  <w:sz w:val="20"/>
                </w:rPr>
                <w:t>Exhibits and Financial Statement Schedules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062" w:type="dxa"/>
            <w:gridSpan w:val="2"/>
            <w:tcBorders/>
            <w:vAlign w:val="center"/>
          </w:tcPr>
          <w:p>
            <w:pPr>
              <w:pStyle w:val="TableContents"/>
              <w:bidi w:val="0"/>
              <w:spacing w:before="0" w:after="0"/>
              <w:ind w:left="0" w:right="0" w:hanging="0"/>
              <w:jc w:val="left"/>
              <w:rPr/>
            </w:pPr>
            <w:hyperlink w:anchor="INDEXTOEXHIBITS_809701">
              <w:r>
                <w:rPr>
                  <w:rStyle w:val="InternetLink"/>
                  <w:rFonts w:ascii="Times New Roman;Times;serif" w:hAnsi="Times New Roman;Times;serif"/>
                  <w:b w:val="false"/>
                  <w:i w:val="false"/>
                  <w:caps w:val="false"/>
                  <w:smallCaps w:val="false"/>
                  <w:sz w:val="20"/>
                </w:rPr>
                <w:t>Index to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062" w:type="dxa"/>
            <w:gridSpan w:val="2"/>
            <w:tcBorders/>
            <w:vAlign w:val="center"/>
          </w:tcPr>
          <w:p>
            <w:pPr>
              <w:pStyle w:val="TableContents"/>
              <w:bidi w:val="0"/>
              <w:spacing w:before="0" w:after="0"/>
              <w:ind w:left="0" w:right="0" w:hanging="0"/>
              <w:jc w:val="left"/>
              <w:rPr/>
            </w:pPr>
            <w:hyperlink w:anchor="SIGNATURES_64883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062" w:type="dxa"/>
            <w:gridSpan w:val="2"/>
            <w:tcBorders/>
            <w:vAlign w:val="center"/>
          </w:tcPr>
          <w:p>
            <w:pPr>
              <w:pStyle w:val="TableContents"/>
              <w:bidi w:val="0"/>
              <w:spacing w:before="0" w:after="0"/>
              <w:ind w:left="0" w:right="0" w:hanging="0"/>
              <w:jc w:val="left"/>
              <w:rPr/>
            </w:pPr>
            <w:hyperlink w:anchor="INDEXTOCONSOLIDATEDFINANCIALSTATEMENTS_8">
              <w:r>
                <w:rPr>
                  <w:rStyle w:val="InternetLink"/>
                  <w:rFonts w:ascii="Times New Roman;Times;serif" w:hAnsi="Times New Roman;Times;serif"/>
                  <w:b w:val="false"/>
                  <w:i w:val="false"/>
                  <w:caps w:val="false"/>
                  <w:smallCaps w:val="false"/>
                  <w:sz w:val="20"/>
                </w:rPr>
                <w:t>Index to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23" w:name="_f57d4d16_d1fc_4147_9993_671f5d79ec5c"/>
      <w:bookmarkEnd w:id="23"/>
      <w:r>
        <w:rPr>
          <w:rFonts w:ascii="Times New Roman;Times;serif" w:hAnsi="Times New Roman;Times;serif"/>
          <w:b/>
          <w:sz w:val="20"/>
        </w:rPr>
        <w:t>DAWSON GEOPHYSICAL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DISCLOSURE REGARDING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are forward-looking statements, including without limitation statements regarding our forecasts, estimates or other expectations regarding future events, operations or financial results, including statements under “Management’s Discussion and Analysis of Financial Condition and Results of Operations” and “Business” regarding technological advancements and our financial position, business strategy, and plans and objectives of our management for future operations; statements regarding our expectations regarding liquidity; statements regarding the anticipated benefits of our purchased single node channels; and statements regarding any potential transaction(s) with our controlling stockholder and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 node channels; the failure to operationalize the acquired equipment in a timely manner or at all; risks associated with the Company’s ability to finance the transaction contemplated by the Purchase Agreement; risks relating to any potential transaction(s) with our controlling stockholder and any of its affiliates, the impact on our stock price of such potential transaction(s), our ability to consummate any such transaction, and our ability to achieve the anticipated benefits of any such potential transaction(s);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our customers and shareholders, and the financing of such acquisitions; risks related to our indebtedness and compliance with covenants contained in our revolving credit note; the Company’s ability to execute its business strategies and plans for growth; the failure to operationalize the new single node channels in a timely manner or at all; disruptions in the global economy, including the Russian-Ukrainian conflict, the U.S. and Iran conflict, and the unrest in the Middle East, , export controls and financial and economic sanctions imposed on certain industry sectors and parties as a result of the developments and broader consequences of the Russian-Ukrainian conflict, the U.S. and Iran conflict, and the unrest in the Middle East related activities, and whether or not a future transaction or other action occurs that causes the Company to be delisted from Nasdaq and no longer be required to make filings with the Securities and Exchange Commission (the “SEC”). The cautionary statements made in this Form 10-K should be read as applying to all related forward-looking statements wherever they appear in this Form 10-K. All subsequent written and oral forward-looking statements attributable to us or persons acting on our behalf are expressly qualified in their entirety by this paragraph. The Company disclaims any intention or obligation to revise any forward-looking statements, whether as a result of new information, future events or otherwise.</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 w:name="PartI_810783"/>
      <w:bookmarkStart w:id="25" w:name="_43d68a7d_9a90_44dd_b01c_4cfa2110f93c"/>
      <w:bookmarkEnd w:id="24"/>
      <w:bookmarkEnd w:id="25"/>
      <w:r>
        <w:rPr>
          <w:rFonts w:ascii="Times New Roman;Times;serif" w:hAnsi="Times New Roman;Times;serif"/>
          <w:b/>
          <w:sz w:val="20"/>
        </w:rPr>
        <w:t>Part I</w:t>
      </w:r>
    </w:p>
    <w:p>
      <w:pPr>
        <w:pStyle w:val="TextBody"/>
        <w:bidi w:val="0"/>
        <w:spacing w:before="0" w:after="240"/>
        <w:ind w:left="0" w:right="0" w:hanging="0"/>
        <w:jc w:val="both"/>
        <w:rPr>
          <w:rFonts w:ascii="Times New Roman;Times;serif" w:hAnsi="Times New Roman;Times;serif"/>
          <w:sz w:val="20"/>
        </w:rPr>
      </w:pPr>
      <w:bookmarkStart w:id="26" w:name="Item1BUSINESS_136806"/>
      <w:bookmarkEnd w:id="26"/>
      <w:r>
        <w:rPr>
          <w:rFonts w:ascii="Times New Roman;Times;serif" w:hAnsi="Times New Roman;Times;serif"/>
          <w:b/>
          <w:sz w:val="20"/>
        </w:rPr>
        <w:t>Item 1.  </w:t>
      </w:r>
      <w:r>
        <w:rPr>
          <w:rFonts w:ascii="Times New Roman;Times;serif" w:hAnsi="Times New Roman;Times;serif"/>
          <w:b/>
          <w:i/>
          <w:sz w:val="20"/>
        </w:rPr>
        <w:t>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otherwise specifically noted herein, references in this annual report on Form 10-K to the “Company,” “we,” “us” or “our” refer to Dawson Geophysical Company and its consolidated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Dawson Geophysical Company, a Texas corporation (the “Company”), is a leading provider of North American onshore seismic data acquisition services with operations throughout the continental United States (“U.S.”) and Canada. We acquire and process 2-D, 3-D and multi-component seismic data for our clients, ranging from major oil and gas companies to independent oil and gas operators, providers of multi-client data libraries and carbon capture sequestration projects. Our principal business office is located at 508 West Wall, Suite 800, Midland, Texas 79701 (Telephone: 432-684-3000), and our internet address is www.dawson3d.com. We make available free of charge on our website our annual reports on Form 10-K, quarterly reports on Form 10-Q, and current reports on Form 8-K as soon as reasonably practicable after filing or furnishing such information with the Securities and Exchange Commission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our seismic data acquisition services primarily to providers of multi-client data libraries for use in the onshore drilling and production of oil and natural gas in the continental U.S. and Canada, as well as directly to onshore oil and natural gas exploration and development companies. The main factors influencing demand for seismic data acquisition services in our industry are the level of drilling and completion activity by oil and natural gas companies and the size of such companies’ exploration and development budgets, which, in turn, depend largely on current and anticipated future crude oil and natural gas prices and production levels and depletion rates of the companies’ oil and natural gas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seismic data acquisition crews supply seismic data primarily to companies engaged in the exploration and development of oil and natural gas on land and in land-to-water transition areas. In recent years, we have provided seismic acquisition services for carbon capture and sequestration projects. Seismic acquisition services of our wholly-owned subsidiary, Eagle Canada Seismic Services ULC (“Eagle Canada”), are also used by the potash mining industry in Canada, and Eagle Canada has particular expertise through its heliportable capabilities. Our clients rely on seismic data to identify areas where subsurface conditions are favorable for the accumulation of existing hydrocarbons, to optimize the development and production of hydrocarbon reservoirs, to better delineate existing oil and natural gas fields, and to augment reservoir management techniques. In addition, seismic data are sometimes utilized in unconventional reservoirs to identify geo-hazards (such as subsurface faults) for drilling purposes, aid in geo-steering of a horizontal well bore and rock property identification for high grading of well locations and hydraulic fracturing. The majority of our current activity is in areas of unconventional reservoirs.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As of December 31, 2025, we have taken delivery of $20.9 million of equipment and issued five Geospace Notes with an aggregate principal of approximately $15.5 million.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acquire geophysical data using the latest in 3-D seismic survey techniques. We introduce acoustic energy into the ground by using vibration equipment or dynamite detonation, depending on the surface terrain, area of operation, and subsurface requirements. The reflected energy, or echoes, are received through geophones, converted into a digital signal at a single or multi-channel recording unit, and then transmitted to a central recording vehicle. Subsurface requirements dictate the number of channels necessary to perform our services. We generally use tens of thousands of recording channels in our 3-D seismic surveys with the largest project consisting in excess of 65,000 recording channels and dozens of energy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source units. We are capable of deploying multiple crews equipped with this technology on multiple projects simultaneously. Additional recording channels enhance the resolution of the seismic survey through increased imaging analysis and provide improved operational efficiencies for our clients. With our state-of-the-art seismic equipment, including computer technology and multiple channels, we acquire, on an efficient basis, immense volumes of seismic data that, when processed and interpreted, produce precise images of the earth’s subsurface. Our clients then use our seismic data to generate 3-D geologic models that help reduce drilling risks, finding and development costs, and improve recovery rates from existing fields.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conventional 2-D and 3-D seismic surveys, we provide what the industry refers to as multi-component seismic data surveys. Multi-component surveys involve the recording of alternative seismic waves known as shear waves. Shear waves can be recorded as wave conversion of conventional energy sources (3-C converted waves) or from horizontal vibrator energy source units (shear wave vibrators). Multi-component data are utilized in further analysis of subsurface rock type, fabric and reservoir characterization. We own equipment required for onshore multi-component surveys. The majority of the projects in Canada require multi-component recording equipment. We have operated between one and three multi-component equipped crews in the U.S. periodically over the past few years. The use of multi-component seismic data could increase in North America over the next few years if industry conditions improve and potentially require capital expenditures for additional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recent years, we have provided surface recorded microseismic services utilizing equipment we own. Microseismic monitoring is used by clients who use hydraulic fracturing to extract hydrocarbon deposits to monitor their hydraulic fracturing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market and supplement our services in the continental U.S. from our headquarters in Midland, Texas and from an additional office in Plano, Texas. In addition, we market and supplement our services in Canada from our facilities in Calgary and Wheatland County, Alberta.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Technological advances in seismic equipment and computing allow the seismic industry to acquire and process, on an efficient basis, immense volumes of seismic data which produce precise images of the earth’s subsurface. The latest accepted method of seismic data acquisition, processing, and the subsequent interpretation of the processed data is the 3-D seismic method. Geophysicists use computer workstations to interpret 3-D data volumes, identify subsurface anomalies, and generate a geologic model of subsurface features. In contrast with the 3-D method, the 2-D method involves the collection of seismic data in a linear fashion, thus generating a single plane of subsurface seismic data. Over recent years, the size of our surveys and density of recording channels and vibrator energy source units have increased, resulting in an increase in required recording channels and energy source units to perform such surveys. The trend for our industry has been a shift to fewer, larger channel count crews operating with an increase in the number of energy source units. We do operate smaller crews from time to time depending on the requirements of the specific project.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3-D seismic data are used in the exploration and development of new reserves and enable oil and natural gas companies to better delineate existing fields and to augment their reservoir management techniques. Benefits of incorporating high resolution 3-D seismic surveys into exploration and development programs include reducing drilling risk, decreasing oil and natural gas finding costs, and increasing the efficiencies of reservoir location, delineation, and management. In order to meet the requirements necessary to fully realize the benefits of 3-D seismic data, there is an increasing demand for improved data quality with greater subsurface resolution with increased density of recording channels and vibrator energy source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the North American seismic data acquisition industry includes several primary competitors, including SAExploration Holdings, Inc. (“SAE”), Echo Seismic Ltd. (“ECHO”), and Paragon Geophysical Services, Inc. (“Paragon”), along with other, smaller companies that generally run one or two small channel count seismic crews and often specialize in specific regions or types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Equipment and Crews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recent years, we have experienced continued increases in recording channel capacity and vibrator energy source units on a per crew or project basis. This increase in channel count and energy source unit demand is driven by client needs and is necessary to produce higher resolution images, increase crew efficiencies and undertake larger scale projects. Due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increase in demand for higher channel counts, in recent years we continued to make investments in additional channels. In response to project-based channel requirements, we routinely deploy a variable number of channels on a variable number of crews in an effort to maximize asset utilization and meet client needs. While the number of recording systems we own may exceed the number utilized in the field at any given time, we maintain the excess equipment to provide additional operational flexibility and to allow us to quickly deploy additional recording channels and energy source units as needed to respond to client demand and desire for improved data quality with greater subsurface images. We believe we will realize the benefit of increased channel counts and flexibility of deployment through increased crew efficiencies, higher revenues and improved margins.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2025, we entered the Equipment Purchase Agreement to purchase new lighter weight single node channels. We have purchased or leased a significant number of cableless recording channels. We utilize this equipment primarily as stand-alone recording systems. As a result of the introduction of cableless recording systems, we have realized increased crew efficiencies and increased channels on projects using this equipment. We believe we will experience continued demand for cableless recording systems and increased channel count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operate 130 vibrator energy source units and approximately 280,000 recording channels. The recording channels consist of 178,000 single-channel GSR/GSX boxes and Pioneer nodes, and 102,000 channels of GSR Multi-channel boxes. Each crew consists of approximately 40 to 100 technicians with associated vehicles, sensors, a seismic recording system, energy sources, and a variety of other equipment. The crews utilize a recorder to manage the data acquisition while the systems capture and hold the data until they are placed in the Data Transfer Module.  The data is then transferred to various data storage media, which are delivered to a data processing center selected by the client.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Equipment Acquisition and 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monitor and evaluate advances in geophysical technology and commit capital funds to purchase the equipment we deem most effective to maintain our competitive position. Purchasing and updating seismic equipment and technology involves a commitment to capital spending. We also tie our capital expenditures closely to demand for our services. Beginning in 2014, we adopted a maintenance capital expenditures program due to the belief that our equipment base was sufficient to meet current demand; however, our Board of Directors may increase the capital budget in response to strategic opportunities to acquire seismic recording equipment. Our Board of Directors has approved a capital expenditure budget of $6 million for 2025. During 2025, our Board of Directors approved the Equipment Purchase Agreement, and our capital expenditures for 2025 were $6.8 million. Our Board of Directors has approved a capital expenditure budget of $3 million for 2026, including the final payment under the Equipment Purchase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services are marketed by supervisory and executive personnel who contact clients to determine geophysical needs and respond to client inquiries regarding the availability of crews or processing schedules. These contacts are based principally on professional relationships developed over a number of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clients range from major oil and gas companies to small independent oil and gas operators and providers of multi-client data libraries. The services we provide to our clients vary according to the size and needs of each client. During the twelve months ended December 31, 2025, sales to one client represented approximately 51% of our revenues, during the same period of 2024 this client represented 29% of our revenues. See Note 14 for more information regarding our major clients. During the twelve months ended December 31, 2024, sales to two clients represented approximately 43% of our revenues. In both years, the remaining balance of our revenues were derived from varied clients, none of which represented 10% or more of our revenues.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historically have not acquired seismic data for our own account or for future sale, maintained multi-client seismic data libraries, or participated in oil and gas ventures; however Wilks Brothers, LLC, our controlling shareholder, has participated in those activities in the past, and may choose to do so with us in the future. The results of seismic surveys conducted for a client belong to that client. We aim to maintain all of our clients’ information in the strictest confidence.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Domestic and Foreign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derive revenue from the U.S. and Canadian markets. We consider these two geographical areas as segments for reporting purposes. The revenue for both of our segments is generated by the same services, which utilize the same type of equipment and personnel.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Tony Clark, Chief Executive Officer, is our current chief operating decision maker. Our chief operating decision maker reviews the discrete segment financial information on a geographic basis for the US operations and Canada Operations. The revenue for both of the Company’s segments is generated by the same services, which utilize the same type of equipment and personnel. The performance of our segments is evaluated primarily on Adjusted EBITDA. We define Adjusted EBITDA as our net income (loss), before (i) interest expense, net, (ii) income tax expense or benefit, (iii) depreciation and amortization and (iv) non-recurring and other charges, such as strategic transaction expenses or severance expenses. As a result, our business has two reportable segments, US operations and Canada Operations.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a discussion of financial information by segment refer to “Note 15, Segments” to the Consolidated Financial Statements incorporated by reference herein for additional details. For a description of risks associated with our foreign operations, please see “Item 1A. Risk Factors ".</w:t>
      </w:r>
    </w:p>
    <w:p>
      <w:pPr>
        <w:pStyle w:val="TextBody"/>
        <w:shd w:fill="FFFFFF" w:val="clear"/>
        <w:bidi w:val="0"/>
        <w:spacing w:lineRule="auto" w:line="314" w:before="0" w:after="240"/>
        <w:ind w:left="0" w:right="0" w:hanging="0"/>
        <w:jc w:val="left"/>
        <w:rPr/>
      </w:pPr>
      <w:r>
        <w:rPr/>
        <w:t> </w:t>
      </w:r>
      <w:r>
        <w:rPr>
          <w:rFonts w:ascii="Times New Roman;Times;serif" w:hAnsi="Times New Roman;Times;serif"/>
          <w:b/>
          <w:sz w:val="20"/>
        </w:rPr>
        <w:t>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contracts are obtained either through competitive bidding or as a result of client negotiations. Our services are conducted under general service agreements for seismic data acquisition services which define certain obligations for us and for our clients. A supplemental agreement setting forth the terms of a specific project, which may be canceled by either party on short notice, is entered into for every project. We currently operate under supplemental agreements that are either “turnkey” agreements providing for a fixed fee to be paid to us for each unit of data acquired or “term” agreements providing for a fixed hourly, daily, or monthly fee during the term of the project or projects.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as in recent years, most of our projects are operated under turnkey agreements. Turnkey agreements generally provide us more profit potential but involve more risk because of the potential of crew downtime or operational delays. We attempt to negotiate on a project-by-project basis some level of weather downtime protection within the turnkey agreements. Under the term agreements, we forego an increased profit potential in exchange for a more consistent revenue stream with improved protection from crew downtime or operational delays.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acquisition of seismic data for the oil and natural gas industry is a competitive business. Contracts for such services generally are awarded on the basis of price quotations, crew experience, and the availability of crews to perform in a timely manner, although factors other than price, such as crew safety, performance history, and technological and operational expertise, are often determinative. Our primary competition includes SAE, ECHO, and Paragon. In addition to these companies, we also compete for projects from time to time with smaller seismic companies which operate in local markets with only one or two small channel count crews. Further, the barriers to entry in the seismic industry are substantial but not prohibitive. The recent increase in channel count and number of energy source units required for larger projects increases the cost and time commitment required for new seismic companies or those outside of the U.S. to enter the domestic market and compete with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 and Human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employed 269 full-time employees, of which 50 consisted of management, sales, and administrative personnel with the remainder being crew and crew support personnel. We optimize our headcount in order to effectively meet our customers’ needs. Our employees are not represented by a collective bargaining agreement. We believe we have good relations with our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Properties” for a description of the material properties utilized in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7" w:name="Item1ARISKFACTORS_789479"/>
      <w:bookmarkStart w:id="28" w:name="_3a020d8b_4907_4e0d_aede_76232a77b948"/>
      <w:bookmarkEnd w:id="27"/>
      <w:bookmarkEnd w:id="28"/>
      <w:r>
        <w:rPr>
          <w:rFonts w:ascii="Times New Roman;Times;serif" w:hAnsi="Times New Roman;Times;serif"/>
          <w:b/>
          <w:sz w:val="20"/>
        </w:rPr>
        <w:t>Item 1A.  </w:t>
      </w:r>
      <w:r>
        <w:rPr>
          <w:rFonts w:ascii="Times New Roman;Times;serif" w:hAnsi="Times New Roman;Times;serif"/>
          <w:b/>
          <w:i/>
          <w:sz w:val="20"/>
        </w:rPr>
        <w:t>RISK FACTORS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An investment in our common stock is subject to a number of risks, including those discussed below. You should carefully consider these discussions of risk and the other information included in this Form 10-K. These risk factors could affect our actual results and should be considered carefully when evaluating us and an investment in our common stock. Although the risks described below are the risks that we believe are material, they are not the only risks relating to our business, our industry and our common stock. Additional risks and uncertainties, including those that are not yet identified or that we currently believe are immaterial, may also adversely affect our business, financial condition or results of operations. If any of the events described below occur, our business, financial condition or results of operations could be materially adversely affected.</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Current macroeconomic conditions, including inflationary pressures in the broader U.S. economy and military conflicts between Russia and Ukraine and in the Middle East have had, and are expected to continue to have, an impact on oil and gas commodity prices and, therefore, demand for our services and, depending on the duration and severity, could have a material adverse effect on our business, financial condition, results of operations and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Worldwide political, economic, and military events have contributed to oil and natural gas price volatility and are likely to continue to do so in the future. We are monitoring the military conflict between Russia and Ukraine as well as the related export controls and financial and economic sanctions imposed on certain industry sectors and parties in Russia by the U.S., the U.K., the European Union and others. We are also monitoring the U.S. and Iran conflict and the impact on shipping in the Middle East, including the Persian Gulf and Red Sea, as a result of ongoing unrest in the Middle East. The broader consequences of the Russian-Ukrainian conflict, the U.S. and Iran conflict, and the unrest in the Middle East,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and results of operations as well as on the global economy and energy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factors which may affect oil and natural gas prices include, but are not limited to, the effect of U.S. energy, monetary and trade policies, including the imposition of tariffs; U.S. and global economic and political conditions and developments; U.S. and international energy and environmental policies; and any operating curtailment of the U.S. oil and gas industry. Together, these factors have created uncertainty for the demand and pricing for services, equipment, and raw materials in the petroleum industry, and may continue to do so in the future.</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derive substantially all of our revenues from providers of multi-client data libraries and companies in the oil and natural gas exploration and development industry. The oil and natural gas industry is a historically cyclical industry with levels of activity that are significantly affected by the levels and volatility of oil and natural gas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Demand for our services depends upon the level of expenditures by oil and natural gas companies for exploration, production, development and field management activities, which depend primarily on oil and natural gas prices, as well as capital allocation by our clients. Significant fluctuations in domestic oil and natural gas exploration activities and commodity prices have affected, and will continue to affect, demand for our services and our results of operations. We could be adversely impacted if the level of such exploration activities and the prices for oil and natural gas were to significantly decline in the future. In addition to the market prices of oil and natural gas, the willingness of our clients to explore, develop and produce depends largely upon prevailing industry conditions that are influenced by numerous factors over which our management has no control, including general economic conditions and the availability of credit. Any prolonged reduction in the overall level of exploration and development activities, whether resulting from changes in oil and natural gas prices or otherwise, could adversely impact us in many ways by negatively affecting:</w:t>
      </w:r>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cash flows, and profitability;</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 increase our borrowing capacity;</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 to finance our business and the cost of that capital;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skilled personnel whom we would need in the event of an upturn in the demand for our services.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on the market prices of oil and natural gas, oil and natural gas exploration and development companies may cancel or curtail their capital expenditure and drilling programs, thereby reducing demand for our services, or may become unable to pay, or have to delay payment of, amounts owed to us for our services. Oil and natural gas prices have been highly volatile historically and, we believe, will continue to be so in the future. Many factors beyond our control affect oil and natural gas prices, including:</w:t>
      </w:r>
    </w:p>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exploring for, producing, and delivering oil and natural gas;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discovery rate of new oil and natural gas reserves;</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decline of existing and new oil and natural gas reserves;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pipeline and other oil and natural gas transportation capacity;</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oil and natural gas companies to raise capital and debt financing;</w:t>
            </w:r>
          </w:p>
        </w:tc>
      </w:tr>
    </w:tbl>
    <w:tbl>
      <w:tblPr>
        <w:tblW w:w="2076" w:type="dxa"/>
        <w:jc w:val="left"/>
        <w:tblInd w:w="0" w:type="dxa"/>
        <w:tblLayout w:type="fixed"/>
        <w:tblCellMar>
          <w:top w:w="28" w:type="dxa"/>
          <w:left w:w="28" w:type="dxa"/>
          <w:bottom w:w="28" w:type="dxa"/>
          <w:right w:w="28" w:type="dxa"/>
        </w:tblCellMar>
      </w:tblPr>
      <w:tblGrid>
        <w:gridCol w:w="124"/>
        <w:gridCol w:w="25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OPEC+;</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in the Middle East and other major oil and natural gas producing regions;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in the U.S. and elsewhere;</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foreign trade policy;</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foreign energy policy including increased emphasis on alternative sources of energy;</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attention to environmental, social and governance matters, including climate change;</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 conditions in the U.S., Canada and elsewhere;</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adopted by foreign governments for the exploration, development, and production of their national reserves;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foreign imports of oil and natural gas; and</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supply and demand for oil and natural gas.</w:t>
            </w:r>
          </w:p>
        </w:tc>
      </w:tr>
    </w:tbl>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are a "controlled company", which exempts us from certain corporate governance requirements that are designed to provide protection to stockholders of companies that are not controlled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Wilks Brothers, LLC (“Wilks”) and its affiliates control approximately 80% of our combined voting power, can elect all of the members of our board of directors and can generally control matters requiring stockholder approval. As a result, we are considered a “controlled company” for the purposes of the Nasdaq listing requirements. As a “controlled company,” we are permitted to opt out of the Nasdaq listing requirements that require (i) a majority of the members of our board of directors to be independent, as defined by Nasdaq rules, (ii) our nominating committee be composed entirely of independent directors with a written charter addressing the committee’s purpose and responsibilities; and (iii) our compensation committee be composed entirely of independent directors with a written charter addressing the committee’s purpose and responsibilities. The Nasdaq listing requirements are intended to ensure that directors who meet the independence standards are free of any conflicting interest that could influence their actions as directors. To date, we have availed ourselves of the exemptions regarding the independence of our nominating committee members, and we may avail ourselves of the other permitted exemptions in the future. As a result, our shareholders may not have the same protections afforded to shareholders of companies that are subject to all of the applicable Nasdaq listing requirements.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Conflicts of interest could arise between us, on the one hand, and Wilks and entities owned by or affiliated with them, on the other hand, concerning among other things, business transactions, competitive business activities or business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Conflicts of interest could arise between us, on the one hand, and Wilks and entities owned by or affiliated with them, on the other hand, concerning among other things, business transactions, competitive business activities or business opportunities. Wilks and these affiliated parties operate in the energy and oilfield services industries. In the normal course of business, we have engaged in transactions with some of these companies. Furthermore, Wilks and such parties  may, directly or indirectly, compete with us for investment or business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Wilks and such parties may also become aware, from time to time, of certain business opportunities (such as acquisition opportunities) and may direct such opportunities to other businesses in which they have invested, in which case we may not become aware of or otherwise have the ability to pursue such opportunities. In addition, Wilks and such parties may dispose of their interests in energy or other oilfield services companies or other assets in the future, without any obligation to offer us the opportunity to purchase any of those interests or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revolving credit note with Equify Financial, as lender. Affiliates of Wilks collectively hold controlling interests in both us and Equify.  For more information, see “--</w:t>
      </w:r>
      <w:r>
        <w:rPr>
          <w:rFonts w:ascii="Times New Roman;Times;serif" w:hAnsi="Times New Roman;Times;serif"/>
          <w:i/>
          <w:sz w:val="20"/>
        </w:rPr>
        <w:t>We have indebtedness from time to time under a credit facility with Equify Financial, a related party, and certain of our accounts receivable and seismic equipment are pledged as collateral for these obligations. Our ability to borrow may be limited if our accounts receivable decreases or if Equify Financial is unable or unwilling to extend us credit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any of these matters, the interests of Wilks and their affiliates and other businesses owned by or affiliated with them may differ or conflict with the interests of our other shareholders. Any actual or perceived conflicts of interest with respect to the foregoing could have an adverse impact on the market price of our common stock.</w:t>
      </w:r>
    </w:p>
    <w:p>
      <w:pPr>
        <w:pStyle w:val="TextBody"/>
        <w:bidi w:val="0"/>
        <w:spacing w:before="0" w:after="240"/>
        <w:ind w:left="0" w:right="0" w:firstLine="216"/>
        <w:jc w:val="both"/>
        <w:rPr>
          <w:rFonts w:ascii="Times New Roman;Times;serif" w:hAnsi="Times New Roman;Times;serif"/>
          <w:sz w:val="20"/>
        </w:rPr>
      </w:pPr>
      <w:r>
        <w:rPr>
          <w:rFonts w:ascii="Times New Roman;Times;serif" w:hAnsi="Times New Roman;Times;serif"/>
          <w:b/>
          <w:i/>
          <w:sz w:val="20"/>
        </w:rPr>
        <w:t>We are in discussion with Wilks regarding one or more transactions involving assets owned by Wilks and/or certain of its affiliates, which may include, among other things, asset contributions or sales, a business combination transaction or other similar transactions. Such discussions may or may not result in a completed transaction. The uncertainty surrounding the outcome of any such transaction process could materially and adversely</w:t>
      </w:r>
      <w:r>
        <w:rPr>
          <w:rFonts w:ascii="Times New Roman;Times;serif" w:hAnsi="Times New Roman;Times;serif"/>
          <w:sz w:val="20"/>
        </w:rPr>
        <w:t xml:space="preserve"> </w:t>
      </w:r>
      <w:r>
        <w:rPr>
          <w:rFonts w:ascii="Times New Roman;Times;serif" w:hAnsi="Times New Roman;Times;serif"/>
          <w:b/>
          <w:i/>
          <w:sz w:val="20"/>
        </w:rPr>
        <w:t>impact our business operations, interfere with our ability to attract and retain personnel, result in the incurrence of significant expenses and cause our stock price to be subject to significant fluctuation or otherwise be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formed a special committee of independent directors (the “Special Committee”) to evaluate, negotiate and make recommendation to the Board regarding any such transaction with Wilks and/or its affiliates, including whether to pursue or decline to pursue any proposed transaction. The Special Committee has the authority to retain its own independent legal and financial advisors in connection with its evaluation of any such transaction. The Special Committee is not obligated to recommend any transaction and may determine that no transaction is in the best interests of the Company and its unaffiliated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that such discussions will eventually lead to a binding offer, that the Special Committee or the Company will pursue a definitive transaction with respect to such discussions or any other potential transaction, or that any transaction will eventually be consummated. Even if definitive transaction documents are executed, a transaction may not be completed if pre-closing matters such as regulatory approvals, due diligence and other conditions are not completed satisfactorily or within specified time frames.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 the extent the trading price of the Company’s common stock reflects a market assumption that a transaction will be completed, the Company’s stock price could be adversely impacted if definitive transaction documents are not executed or a transaction does not take place. Uncertainty surrounding the outcome associated with such discussions subjects us to a number of other risks during this time. The Board’s and management’s attention could be diverted from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normal business operations to focus on the potential transaction, or other potential transactions.  Further, we have and may continue to incur significant expenses, including advisory and legal costs, related to such discussions.  Such costs have and may continue to adversely impact our financial results. The potential for a transaction may also interfere with our ability to attract and retain key personnel, who may be uncertain about their future roles. The commencement of litigation regarding such discussions, or any other potential transaction, also would likely have an adverse effect on the market price of our shares of common stock.</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may pursue acquisitions or other strategic relationships that involve inherent risks, any of which may cause us to not realize anticipated benefits.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pursue acquisitions of businesses and other business combinations that we expect will complement and expand our business and also pursue other strategic relationships or opportunities. We may not be able to successfully identify suitable acquisition or other strategic opportunities or complete any particular acquisition, combination, or other transaction on acceptable terms. Our identification of suitable acquisition candidates and strategic opportunities involves risks inherent in assessing the values, strengths, weaknesses, risks, and profitability of these opportunities including their effects on our business, diversion of our management’s attention and risks associated with unanticipated problems or unforeseen liabilities. If we are successful in pursuing future acquisitions or strategic opportunities, we may be required to expend significant funds, incur additional debt, or issue additional securities, which may materially and adversely affect our results of operations and be dilutive to our stockholders. If we spend significant funds or incur additional debt, our ability to obtain financing for working capital or other purposes could decline and we may be more vulnerable to economic downturns and competitive pressures. In addition, we cannot guarantee that we will be able to finance additional acquisitions or that we will realize any anticipated benefits from acquisitions or other strategic opportunities that we complete. When and if we successfully acquire another business, the process of successfully integrating the acquired operations into our existing operations may result in unforeseen operating difficulties and may require significant financial resources that would otherwise be available for the ongoing development or expansion of our existing business. Decreases in customer loyalty, failure to retain and develop the acquired workforce, failure to integrate financial reporting systems, failure to establish and maintain appropriate controls or unknown or contingent liabilities could adversely affect our ability to realize the anticipated benefits of an acquisition. The integration of an acquired business, whether or not successful, requires significant efforts which may result in additional expenses and divert the attention of our management and technical personnel from other projects. These transactions are inherently risky, and there can be no assurance that any past or future transaction will be successful.</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A limited number of clients operating in a single industry account for a significant portion of our revenues, and the loss of one of these clients could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a significant amount of our revenues from a relatively small number of oil and gas exploration and development companies and providers of multi-client data libraries. During the twelve months ended December 31, 2025, our largest client accounted for approximately 51% of our revenues, and during the twelve months ended December 31, 2024, sales to two clients represented approximately 43% of our revenues. If any of our significant clients were to terminate their contracts or fail to contract for our services in the future because they are acquired, alter their exploration or development strategy, experience financial difficulties or for any other reason, our results of operations could be materially adversely affected.</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clients could delay, reduce or cancel their service contracts with us on short notice, which may lead to lower than expected demand and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order book reflects client commitments at levels we believe are sufficient to maintain operations on our existing crews for the indicated periods. However, our clients can delay, reduce or cancel their service contracts with us on short notice. If the oil and natural gas industry experiences a downturn, it may result in an increase in delays, reductions or cancellations by our clients. In addition, the timing of the origination and completion of projects and when projects are awarded and contracted for is also uncertain. As a result, our order book as of any particular date may not be indicative of actual demand and revenues for any succeeding period.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revenues, operating results and cash flows may fluctuate from period to period, which may make it difficult to forecast our future performance and may result in volatility in our stock price.</w:t>
      </w:r>
    </w:p>
    <w:p>
      <w:pPr>
        <w:pStyle w:val="TextBody"/>
        <w:bidi w:val="0"/>
        <w:spacing w:before="0" w:after="240"/>
        <w:ind w:left="0" w:right="0" w:firstLine="216"/>
        <w:jc w:val="both"/>
        <w:rPr>
          <w:rFonts w:ascii="Times New Roman;Times;serif" w:hAnsi="Times New Roman;Times;serif"/>
          <w:sz w:val="20"/>
        </w:rPr>
      </w:pPr>
      <w:r>
        <w:rPr>
          <w:rFonts w:ascii="Times New Roman;Times;serif" w:hAnsi="Times New Roman;Times;serif"/>
          <w:sz w:val="20"/>
        </w:rPr>
        <w:t>Our revenues, operating results and cash flows may fluctuate from period to period, making forecasting future performance difficult and resulting in volatility in our stock price. These fluctuations are attributable to a variety of factors, including, without limitation, the level of new business in a particular period, the timing of the initiation, progress or cancellation of significant projects, higher revenues and expenses on our dynamite contracts, and costs we incur to train new crews we may add in the future to meet increased client demand. Fluctuations in our operating results may also be affected by other factors that are outside of our control such as permit delays, weather delays and crew productivity. Oil and natural gas prices have continued to be volatile and have resulted in significant demand fluctuations for our services. There can be no assurance of future oil and gas price levels or stability. Our operations in Canada are also seasonal as a result of the thawing season, and we have historically experienced limited Canadian activity during the second and third quarters of each year. The demand for our services would be adversely affected by a significant reduction in oil and natural gas prices and by climate change legislation or material changes to U.S. energy policy. Because our business has high fixed costs, the negative effect of one or more of these factors could trigger wide variations in our operating revenues, cash flows, EBITDA, margin, and profitability from quarter to quarter, rendering quarter to quarter comparisons unreliable as an indicator of performance. Due to the factors discussed above, you should not expect sequential growth in our quarterly revenues and profitability.</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extend credit to our clients without requiring collateral, and a default by a client could have a material adverse effect on our operating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perform ongoing credit evaluations of our clients’ financial conditions and, generally, require no collateral from our clients. It is possible that one or more of our clients will become financially distressed, which could cause them to default on their obligations to us and could reduce the client’s future need for seismic services provided by us. Our concentration of clients may also increase our overall exposure to these credit risks. A default in payment from one of our large clients could have a material adverse effect on our operating results for the period involved.</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have historically incurred net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incurred net losses of $1.9 million for the year ended December 31, 2025, and $4.1 million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be profitable in the future will depend on many factors beyond our control, but primarily on the level of demand for land-based seismic data acquisition services by oil and natural gas exploration and development companies. Even if we do achieve profitability, we may not be able to sustain or increase profitability on a quarterly or annual basis.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identified a material weakness in our internal control over financial reporting. If we are unable to remediate the material weakness, or if we identify additional material weaknesses in the future or otherwise fail to maintain an effective system of internal control over financial reporting, this may result in material misstatements or restatements of our consolidated financial statements or cause us to fail to meet our periodic reporting obligations.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public company, we are required to provide management’s assessment of the effectiveness of our internal control over financial reporting. In connection with the preparation and audit of our consolidated financial statements for the year ended December 31, 2025, a material weakness was identified in our internal control over financial reporting relating to the year ended December 31, 2025, which remains unremediated as of March 31, 2026.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Specifically, we did not design and maintain effective controls to ensure the accurate classification of revenue between Fee Revenue and Reimbursable Revenue, and classification of expenses between Fee Operating Expenses and Reimbursable Operating Expenses within the consolidated statement of operations and comprehensive loss. Specifically, a material error in classification was identified that our internal control over financial reporting failed to prevent or detect. While the total amount of operating revenues and operating expenses recognized for the periods presented were not materially misstated, the misclassification resulted in a material error in fee revenue, reimbursable revenue, fee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and reimbursable operating expenses in our consolidated statement of operations and comprehensive loss. No other financial statement line items were affected by this error. The misstatements were corrected in the consolidated statement of operations and comprehensive loss presented herein.</w:t>
      </w:r>
    </w:p>
    <w:p>
      <w:pPr>
        <w:pStyle w:val="TextBody"/>
        <w:bidi w:val="0"/>
        <w:spacing w:before="0" w:after="0"/>
        <w:ind w:left="0" w:right="0" w:firstLine="36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begun implementation of a plan to remediate this material weakness, which is discussed in Item 9A of this report. Specifically, management is designing and implementing a review control to perform a look back analysis related to uncompleted customer contracts at the end of the reporting period to ensure the correct classification of revenue earned and expenses incurred in satisfying performance obligations under contracts with customers. These remediation measures are ongoing and include implementing additional policies, procedures and controls. In order to maintain and improve the effectiveness of our internal control over financial reporting, we have expended, and anticipate that we will continue to expend, significant resources, including accounting-related costs and significant management oversight. </w:t>
      </w:r>
    </w:p>
    <w:p>
      <w:pPr>
        <w:pStyle w:val="TextBody"/>
        <w:bidi w:val="0"/>
        <w:spacing w:before="0" w:after="0"/>
        <w:ind w:left="0" w:right="0" w:firstLine="36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is not currently required to formally attest to the effectiveness of our internal control over financial reporting. Once such attestation is required, our independent registered public accounting firm may issue a report that is adverse . Any failure to maintain effective internal control over financial reporting could adversely affect our business and operating results and could cause a decline in the price of our securities.</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The high fixed costs of our operations could result in continuing or increasing operating losses.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Companies within our industry are typically subject to high fixed costs, consisting primarily of depreciation (a non-cash expense) and maintenance expenses associated with seismic data acquisition and equipment and crew costs. In addition, ongoing maintenance capital expenditures, as well as new equipment investment, can be significant. As a result, any extended periods of significant downtime or low productivity caused by reduced demand, weather interruptions, equipment failures, permit delays, or other causes could result in continuing or increasing operating losses.</w:t>
      </w:r>
    </w:p>
    <w:p>
      <w:pPr>
        <w:pStyle w:val="TextBody"/>
        <w:bidi w:val="0"/>
        <w:spacing w:before="0" w:after="240"/>
        <w:ind w:left="0" w:right="0" w:firstLine="216"/>
        <w:jc w:val="both"/>
        <w:rPr>
          <w:rFonts w:ascii="Times New Roman;Times;serif" w:hAnsi="Times New Roman;Times;serif"/>
          <w:b/>
          <w:i/>
          <w:sz w:val="20"/>
        </w:rPr>
      </w:pPr>
      <w:bookmarkStart w:id="29" w:name="_Hlk225422285"/>
      <w:bookmarkEnd w:id="29"/>
      <w:r>
        <w:rPr>
          <w:rFonts w:ascii="Times New Roman;Times;serif" w:hAnsi="Times New Roman;Times;serif"/>
          <w:b/>
          <w:i/>
          <w:sz w:val="20"/>
        </w:rPr>
        <w:t>We have indebtedness from time to time under a credit facility with Equify Financial, a related party, and certain of our accounts receivable and seismic equipment are pledged as collateral for these obligations. Our ability to borrow may be limited if our accounts receivable decreases or if Equify Financial is unable or unwilling to extend us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indebtedness under a credit facility with Equify Financial, a related party under common control. Our ability to borrow funds under our revolving line of credit is tied to the value of our collateral as determined by our lender, with our borrowing base reducing $139,862 on a monthly basis. As of December 31, 2025, we had no balance outstanding on the credit facility, and a borrowing base of $4.9 million. Our ability to borrow to fund operations or other obligations may be limited by the borrowing base under the credit facility.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Equify Financial is unable or unwilling to extend us credit when requested by us, our access to capital could be materially adversely impacted.  In such event, we may need to refinance our indebtedness or obtain alternative financing.  We cannot assure that we will be able to refinance any of our indebtedness or obtain new financing in a timely manner, on commercially reasonable terms, or at all.  As a result, we may need to implement one or more alternatives, such as reducing or delaying planned business activities, expenses and capital expenditures, selling assets, restructuring debt, or obtaining additional equity or debt financing.  If we issue equity to raise funds, it is likely to have a dilutive impact on our stockholders.  These strategies may not be executed on satisfactory terms, if at all or on terms that would be advantageous to our stockholders. Our efforts to refinance our indebtedness or obtain additional financing, and to do so on commercially reasonable terms, will depend on, among other things, our financial condition at the time, restrictions in agreements governing our indebtedness, and other factors, including the condition of the financial markets and the markets in which we will compete.</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financial results could be adversely affected by asset impairments.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review our portfolio of equipment and our intangible assets for impairment. Future events, including our financial performance, sustained decreases in oil and natural gas prices, reduced demand for our services, our market valuation or the market valuation of comparable companies, loss of a significant client’s business, or strategic decisions, could cause us to conclude that impairment indicators exist and ultimately that the values associated with our equipment or intangible assets should be impaired. If we impair our equipment or intangible assets, these non-cash asset impairments could have a material adverse effect on our financial results in the period in which the impairments are recorded.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profitability is determined, in part, by the utilization level and productivity of our crews and is affected by numerous external factors that are beyond our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revenues are determined, in part, by the contract price we receive for our services, the level of utilization of our data acquisition crews and the productivity of these crews. Crew utilization and productivity is partly a function of external factors, such as client cancellation or delay of projects, operating delays from inclement weather, obtaining land access rights, and other factors over which we have no control. If our crews encounter operational difficulties or delays on any data acquisition survey, our results of operations may vary, and in some cases,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most of our projects have been performed on a turnkey basis for which we were paid a fixed price for a defined scope of work or unit of data acquired. The revenue, cost and gross profit realized under our turnkey contracts can vary from our estimates because of changes in job conditions, variations in labor and equipment productivity or because of the performance of our subcontractors. Turnkey contracts may also cause us to bear substantially all of the risks of business interruption caused by external factors over which we may have no control, such as weather, obtaining land access rights, crew downtime or operational delays. These variations, delays and risks inherent in turnkey contracts may result in reducing our profitability.</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face competition in our business, which could result in downward pricing pressure and the loss of market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seismic data acquisition services industry is a competitive business in the continental U.S. and Canada. Additionally, the seismic data acquisition business is extremely price competitive and has a history of periods in which seismic contractors bid jobs below cost and, therefore, adversely affected industry pricing. Many contracts are awarded on a bid basis, which may further increase competition based primarily on price. Further, the barriers to entry in the seismic industry are substantial but not prohibitive. The recent increase in channel count and number of energy source units required for larger projects increases the cost and time commitment required for new seismic companies or those outside of the U.S. to enter the domestic market and compete with us.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Inclement weather may adversely affect our ability to complete projects and could, therefore,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seismic data acquisition operations could be adversely affected by inclement weather conditions. Delays associated with weather conditions could adversely affect our results of operations. For example, weather delays could affect our operations on a particular project or an entire region and could lengthen the time to complete projects. In addition, even if we negotiate weather protection provisions in our contracts, we may not be fully compensated by our clients for delays caused by inclement weather. </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operations are subject to delays related to obtaining land access rights of way from third parties, which could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seismic data acquisition operations could be adversely affected by our inability to obtain timely right of way usage from both public and private land and/or mineral owners. We cannot begin surveys on property without obtaining permits from governmental entities as well as the permission of the private landowners who own the land being surveyed. In recent years, it has become more difficult, costly and time-consuming to obtain access rights of way as drilling activities have expanded into more populated areas. Additionally, some landowners have become more resistant to seismic and drilling activities occurring on their property. Increased costs and delays associated with obtaining such rights of way could negatively affect our results of operations.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Capital requirements for our operations are large. If we are unable to finance these requirements, we may not be able to maintain our competitive advantage.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Seismic data acquisition and data processing technologies historically have progressed steadily, and we expect this trend to continue. In order to remain competitive, we must continue to invest additional capital to maintain, upgrade and expand our seismic data acquisition capabilities. Our working capital requirements remain high, primarily due to the expansion of our infrastructure in response to client demand for cableless recording systems and more recording channels, which has increased as the industry strives for improved data quality with greater subsurface resolution images. Our sources of working capital are limited. We have historically funded our working capital requirements primarily with cash generated from operations, cash reserves and, from time to time, borrowings from commercial banks. In recent years, we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have funded some of our capital expenditures through equipment term loans and finance leases. In the past, we have also funded our capital expenditures and other financing needs through public equity offerings. If we expand our operations at a rate exceeding operating cash flow, if current demand or pricing of geophysical services decrease substantially, or if technical advances or competitive pressures require us to acquire new equipment faster than our cash flow could sustain, additional financing could be required. If we are not able to obtain such financing or renew our existing revolving line of credit when needed, it could have a negative impact on our ability to pursue expansion and maintain our competitive advantage.</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Consistent technological change in our business creates obsolescence risks and requires capital expenditures to maintain market share. If we are unable to keep up with these technological advances, we may not be able to compete effectively.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Seismic data acquisition technologies historically have steadily improved and progressed, and we expect this progression to continue. We are in a capital-intensive industry and, in order to remain competitive, we must continue to invest additional capital to maintain, upgrade and expand our seismic data acquisition capabilities. However, we may have limitations on our ability to obtain the financing necessary to enable us to purchase state-of-the-art equipment, and certain of our competitors may be able to purchase newer equipment when we may not be able to do so, thus affecting our ability to compete.</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have incorporated and may further incorporate artificial intelligence (AI) into our internal operations to enhance employee productivity. Implementation of artificial intelligence technologies may result in legal and regulatory risks, reputational harm, or other adverse consequences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with many technological innovations, AI presents risks and challenges that could affect its adoption, and therefore our business. By policy, we do not allow the upload of any personal or company confidential information to any AI tools except those from which we have obtained commercially reasonable assurances that such information will not be used other than to provide the services to the company (e.g., no training of models), nor will it be shared with any third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Though we have taken steps to be thoughtful in the allowed use of AI, it could pose certain risks to our customers,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internal operations. Such risks could negatively affect the performance of our business, as well as our reputation and the reputations of our customers, and we could incur liability through the violation of laws or contracts to which we are a party or civil claims.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rely on a limited number of key suppliers for specific seismic services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depend on a limited number of third parties to supply us with specific seismic services and equipment. From time to time, increased demand for seismic data acquisition services has decreased the available supply of new seismic equipment, resulting in extended delivery dates on orders of new equipment. Any delay in obtaining equipment could delay our deployment of additional crews and restrict the productivity of existing crews, adversely affecting our business and results of operations. In addition, any adverse change in the terms of our suppliers’ arrangements could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suppliers may also be our competitors. If competitive pressures were to become such that our suppliers would no longer sell to us, we would not be able to easily replace the technology with equipment that communicates effectively with our existing technology, thereby impairing our ability to conduct our business.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are dependent on our management team and key employees, and inability to retain our current team or attract new employees could harm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continued success depends upon attracting and retaining highly skilled professionals and other technical personnel. A number of our employees are highly skilled scientists and highly trained technicians. The loss of our senior executives or other key employees or our failure to continue to attract and retain skilled and technically knowledgeable personnel could adversely affect our ability to compete in the seismic services industry. We may experience significant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competition for such personnel, particularly during periods of increased demand for seismic services. A limited number of our employees are under employment contracts, and we do not maintain key man insurance.</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We are subject to Canadian foreign currency exchange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business in Canada which subjects us to foreign currency exchange rate risk. Currently, we do not hold or issue foreign currency forward contracts, option contracts or other derivative financial instruments to mitigate the currency exchange rate risk. Our results of operations and our cash flows could be impacted by changes in foreign currency exchange rates.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common stock has experienced, and may continue to experience, price volatility and low trading volume.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stock price is subject to volatility. Overall market conditions, including a decline in oil and natural gas prices and other risks and uncertainties described in this “Risk Factors” section and in our other filings with the SEC, could cause the market price of our common stock to fall. Our high and low sales prices of our common stock for the twelve months ended December 31, 2025 were $5.54 and $1.08, respectively. Further, the high and low sales prices of our common stock for the twelve months ended December 31, 2024 were $2.22 and $1.27,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is listed on The Nasdaq Stock Market LLC (“Nasdaq”) under the symbol “DWSN.” However, daily trading volumes for our common stock are, and may continue to be, relatively low compared to other publicly traded securities. In addition, as of December 31, 2025, Wilks and its affiliates own approximately 80% of our common stock, limiting the public market for our common stock, which can lead to increased price volatility and low trading volumes. For example, during 2025 and 2024 our daily trading volume was as low as 0 shares. It may be difficult for you to sell your shares in the public market at any given time at prevailing prices, and the price of our common stock may, therefore, be volatile.</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We may be subject to liability claims that are not covered by our insurance.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business is subject to the general risks inherent in land-based seismic data acquisition activities. Our activities are often conducted in remote areas under dangerous conditions, including the detonation of dynamite. These operations are subject to risk of injury to personnel and damage to equipment. Our crews are mobile, and equipment and personnel are subject to vehicular accidents. These risks could cause us to experience equipment losses, injuries to our personnel, and interruptions in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we could be subject to personal injury or real property damage claims in the normal operation of our business. Such claims may not be covered under the indemnification provisions contained in our general service agreements to the extent that the damage is due to our negligence or intentional misconduct.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general service agreements require us to have specific amounts of insurance. However, we do not carry insurance against certain risks that could cause losses, including business interruption resulting from equipment maintenance or weather delays. Further, there can be no assurance, however, that any insurance obtained by us will be adequate to cover all losses or liabilities or that this insurance will continue to be available or available on terms which are acceptable to us. Liabilities for which we are not insured, or which exceed the policy limits of our applicable insurance, could have a materially adverse effect on us.</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We may be held liable for the actions of our subcontractors.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often work as the general contractor on seismic data acquisition surveys and, consequently, engage a number of subcontractors to perform services and provide products. While we obtain contractual indemnification and insurance covering the acts of these subcontractors and require the subcontractors to obtain insurance for our benefit, we could be held liable for the actions of these subcontractors. In addition, subcontractors may cause injury to our personnel or damage to our property that is not fully covered by insurance.</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We operate under hazardous conditions that subject us to risk of damage to property or personnel injuries and may interrupt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business is subject to the general risks inherent in land-based seismic data acquisition activities. Our activities are often conducted in remote areas under extreme weather and other dangerous conditions, including the use of dynamite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an energy source. These operations are subject to risk of injury to our personnel and third parties and damage to our equipment and improvements in the areas in which we operate. In addition, our crews often operate in areas where the risk of wildfires is present and may be increased by our activities. Since our crews are mobile, equipment and personnel are subject to vehicular accidents. We use diesel fuel which is classified by the U.S. Department of Transportation as a hazardous material. These risks could cause us to experience equipment losses, injuries to our personnel and interruptions in our business. Delays due to operational disruptions such as equipment losses, personnel injuries and business interruptions could adversely affect our profitability and results of operations.</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Loss of our information and computer systems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heavily dependent on our information systems and computer-based programs, including our seismic information, electronic data processing and accounting data. If any of such programs or systems were to fail or create erroneous information, or if we were subject to cyberspace breaches or attacks, possible consequences include loss of communication links, loss of seismic data and inability to automatically process commercial transactions or engage in similar automated or computerized business activities. Any such consequence could have a material adverse effect on our business.</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Our business could be negatively impacted by security threats, including cyber-security threats and other disruptions.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various security threats, including cyber-security threats to gain unauthorized access to sensitive information or to render data or systems unusable, threats to the safety of our employees, threats to the security of our facilities and infrastructure, and threats from terrorist acts.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 Although we utilize various procedures and controls to monitor and protect against these threats and to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w:t>
      </w:r>
    </w:p>
    <w:p>
      <w:pPr>
        <w:pStyle w:val="TextBody"/>
        <w:bidi w:val="0"/>
        <w:spacing w:before="0" w:after="240"/>
        <w:ind w:left="0" w:right="0" w:firstLine="216"/>
        <w:jc w:val="both"/>
        <w:rPr>
          <w:rFonts w:ascii="Times New Roman;Times;serif" w:hAnsi="Times New Roman;Times;serif"/>
          <w:b/>
          <w:i/>
          <w:sz w:val="20"/>
        </w:rPr>
      </w:pPr>
      <w:r>
        <w:rPr>
          <w:rFonts w:ascii="Times New Roman;Times;serif" w:hAnsi="Times New Roman;Times;serif"/>
          <w:b/>
          <w:i/>
          <w:sz w:val="20"/>
        </w:rPr>
        <w:t>Our business is subject to significant government regulation, which may adversely affect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subject to a variety of federal, state, provincial and local laws and regulations, including laws and regulations relating to the protection of the environment and archeological sites, such as obtaining permits from governmental entities to allow survey and drilling activities, as well as those that may result from climate change legislation or executive orders that could negatively impact the exploration and production of oil and gas. Canadian operations have been historically cyclical due to governmental restrictions on seismic acquisition during certain periods. In addition, governmental entities do not always grant permits within the expected time period. As a result, there is a risk that there will be a significant amount of unused equipment during those periods. We are required to expend financial and managerial resources to comply with such laws and related permit requirements in our operations, and we anticipate that we will continue to be required to do so in the future. Although such expenditures historically have not been material to us, the fact that such laws or regulations change frequently makes it impossible for us to predict the cost or impact of such laws and regulations on our future operations. The adoption of laws and regulations that have the effect of reducing or curtailing exploration and development activities by energy companies could also adversely affect our operations by reducing the demand for our services.</w:t>
      </w:r>
    </w:p>
    <w:p>
      <w:pPr>
        <w:pStyle w:val="TextBody"/>
        <w:bidi w:val="0"/>
        <w:spacing w:before="0" w:after="200"/>
        <w:ind w:left="0" w:right="0" w:firstLine="216"/>
        <w:jc w:val="both"/>
        <w:rPr>
          <w:rFonts w:ascii="Times New Roman;Times;serif" w:hAnsi="Times New Roman;Times;serif"/>
          <w:b/>
          <w:i/>
          <w:sz w:val="20"/>
        </w:rPr>
      </w:pPr>
      <w:r>
        <w:rPr>
          <w:rFonts w:ascii="Times New Roman;Times;serif" w:hAnsi="Times New Roman;Times;serif"/>
          <w:b/>
          <w:i/>
          <w:sz w:val="20"/>
        </w:rPr>
        <w:t>Legislation or regulation relating to greenhouse gas emissions could negatively affect the exploration and production of oil and gas and adversely affect demand for our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 xml:space="preserve">In response to concerns suggesting that emissions of certain gases, commonly referred to as “greenhouse gases” (“GHG”) (including carbon dioxide and methane), may be contributing to global climate change, legislative and </w:t>
      </w:r>
      <w:r>
        <w:rPr>
          <w:rFonts w:ascii="Times New Roman;Times;serif" w:hAnsi="Times New Roman;Times;serif"/>
          <w:sz w:val="20"/>
        </w:rPr>
        <w:t xml:space="preserve">regulatory </w:t>
      </w:r>
      <w:r>
        <w:rPr>
          <w:rFonts w:ascii="Times New Roman;Times;serif" w:hAnsi="Times New Roman;Times;serif"/>
          <w:sz w:val="22"/>
        </w:rPr>
        <w:t xml:space="preserve">measures to address the concerns are in various phases of discussion or implementation at the national and state levels. In February 2026, the Trump administration officially revoked the 2009 EPA "endangerment finding," which declared GHG a threat to public health, stripping federal authority to regulate carbon dioxide and methane emissions from oil and gas wells, tailpipes, smokestacks and other sources that burn fossil fuels under the Clean Air Act. However, environmental groups have filed lawsuits against the EPA in the D.C. Circuit challenging the rescission of the finding that GHG threaten public health.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legal proceedings are complex and will likely proceed for several years, with environmentalists arguing that the administration's actions are unlawful and violate the Clean Air Act.  It is impossible for us to predict the timeframe, cost, or impact of this evolving federal policy or litigation challenges on our future operations.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Although various climate change legislative measures have periodically been introduced in the U.S. Congress, and there has been a wide-ranging policy debate both in the U.S. and internationally regarding the impact of these gases and possible means for their regulation, it is not possible at this time to predict whether or when Congress may act on climate change legislation. However, future actions that require substantial reductions in carbon emissions could be costly and difficult to implement.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Although the federal government position on GHG is evolving, many states, either individually or through multi state regional initiatives, have already taken legal measures intended to reduce GHG emissions, primarily through the planned development of GHG emission inventories and/or GHG cap and trade programs. States may impose more stringent standards for GHG and the cost of compliance continues to change as the state programs evolve.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New federal or state laws or regulations focused on GHG emissions or that otherwise seek to address climate change may negatively affect us, our suppliers and our clients. This could cause us to incur additional direct costs in complying with any new environmental regulations, as well as increased indirect costs resulting from our clients, suppliers or both incurring additional compliance costs that get passed on to us. Moreover, passage of climate change legislation, other federal or state legislative or regulatory initiatives, or international agreements that regulate or restrict emissions of GHG may curtail production and demand for fossil fuels such as oil and gas in areas where our clients operate and, thus, adversely affect future demand for our services. Reductions in our revenues or increases in our expenses as a result of climate control initiatives could have adverse effects on our business, financial position, results of operations and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oil and natural gas activities. Ultimately, this could make it more difficult to secure funding for exploration and production activities, which may have an adverse impact on the demand for our services.</w:t>
      </w:r>
    </w:p>
    <w:p>
      <w:pPr>
        <w:pStyle w:val="TextBody"/>
        <w:bidi w:val="0"/>
        <w:spacing w:before="0" w:after="240"/>
        <w:ind w:left="0" w:right="0" w:firstLine="180"/>
        <w:jc w:val="both"/>
        <w:rPr>
          <w:rFonts w:ascii="Times New Roman;Times;serif" w:hAnsi="Times New Roman;Times;serif"/>
          <w:b/>
          <w:i/>
          <w:sz w:val="20"/>
        </w:rPr>
      </w:pPr>
      <w:r>
        <w:rPr>
          <w:rFonts w:ascii="Times New Roman;Times;serif" w:hAnsi="Times New Roman;Times;serif"/>
          <w:b/>
          <w:i/>
          <w:sz w:val="20"/>
        </w:rPr>
        <w:t>New regulation or legislation that limits or prohibits hydraulic fracturing could negatively affect the exploration and production of oil and gas and adversely affect demand for our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Hydraulic fracturing is an important and commonly used process in the completion of oil and gas wells. Hydraulic fracturing involves the injection of water, sand and chemical additives under pressure into rock formations to stimulate gas production. Several political and regulatory authorities and governmental bodies have studied hydraulic fracturing and considered potential regulations, and certain environmental and other groups have devoted resources to campaigns aimed at restricting or eradicating hydraulic fracturing.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Due to public concerns raised regarding potential impacts of hydraulic fracturing on groundwater quality, legislative and regulatory efforts at the federal level and in some states have been initiated to require or make more stringent the permitting and compliance requirements for hydraulic fracturing operations. Several states have adopted more stringent permitting, public disclosure or well construction legislation and/or regulations. Four states (New York, Maryland, Washington and Vermont) have banned the use of high-volume hydraulic fracturing. Additionally, the Delaware River Basin Commission adopted a resolution banning high-volume hydraulic fracturing within the Delaware River Basin, which spans parts of Pennsylvania, New York, New Jersey and Delaware.  In addition to state laws, some local municipalities have adopted or are considering adopting land use restrictions, such as city ordinances, that may restrict or prohibit the performance of well drilling in general or hydraulic fracturing in particular. There have also been certain governmental reviews that focus on deep shale and other formation completion and production practices, including hydraulic fracturing. Governments may continue to study hydraulic fracturing. We cannot predict the outcome of future studies, but based on the results of these studies to date, federal and state legislatures and agencies may seek to further regulate or even ban hydraulic fracturing activities. These regulatory initiatives could each spur further action toward federal and/or state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legislation and regulation of hydraulic fracturing activities. Additional regulation could materially reduce our business opportunities and revenues if our customers decrease their levels of activity in response to such 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Some parties also believe that there is a correlation between hydraulic fracturing and other oilfield related activities and the increased occurrence of seismic activity. When caused by human activity, such seismic activity is called induced seismicity. The extent of this correlation, if any, is the subject of studies of both state and federal agencies. In addition, a number of lawsuits have been filed against other industry participants alleging damages and regulatory violations in connection with such activity. These and other ongoing or proposed studies could spur initiatives to further regulate hydraulic fracturing and other aspects of the oil and gas industry. In light of concerns about induced seismicity, some state regulatory agencies have already modified their regulations or issued orders to address induced seismicity.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adoption of any future federal, state, foreign, regional or local laws that impact permitting requirements for, result in reporting obligations on, or otherwise limit or ban, the hydraulic fracturing process could make it more difficult to perform hydraulic fracturing. This could reduce demand for our services. Regulation that significantly restricts or prohibits hydraulic fracturing, or that requires hydraulic fracturing operations to meet permitting and financial assurance requirements, adhere to certain construction specifications, fulfill monitoring, reporting, and recordkeeping obligations, and meet plugging and abandonment requirements, could have a material adverse impact on our business. Additionally, legislation that requires the reporting and public disclosure of chemicals used in the fracturing process could make it easier for third parties opposing the hydraulic fracturing process to initiate legal proceedings based on allegations that specific chemicals used in the fracturing process could adversely affect groundwater.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legislative and regulatory initiatives imposing additional reporting obligations on, or otherwise limiting, the hydraulic fracturing process could make it more difficult or costly to complete natural gas wells. Shale gas cannot be economically produced without extensive fracturing. In the event such legislation is enacted, demand for our seismic acquisition services may be adversely affected.</w:t>
      </w:r>
    </w:p>
    <w:p>
      <w:pPr>
        <w:pStyle w:val="TextBody"/>
        <w:bidi w:val="0"/>
        <w:spacing w:before="0" w:after="240"/>
        <w:ind w:left="0" w:right="0" w:hanging="0"/>
        <w:jc w:val="both"/>
        <w:rPr>
          <w:rFonts w:ascii="Times New Roman;Times;serif" w:hAnsi="Times New Roman;Times;serif"/>
          <w:sz w:val="20"/>
        </w:rPr>
      </w:pPr>
      <w:bookmarkStart w:id="30" w:name="Item1BUNRESOLVEDSTAFFCOMMENTS_103023"/>
      <w:bookmarkStart w:id="31" w:name="_74295856_e372_40de_b6e2_8ac5413b4259"/>
      <w:bookmarkEnd w:id="30"/>
      <w:bookmarkEnd w:id="31"/>
      <w:r>
        <w:rPr>
          <w:rFonts w:ascii="Times New Roman;Times;serif" w:hAnsi="Times New Roman;Times;serif"/>
          <w:b/>
          <w:sz w:val="20"/>
        </w:rPr>
        <w:t>Item 1B.  </w:t>
      </w:r>
      <w:r>
        <w:rPr>
          <w:rFonts w:ascii="Times New Roman;Times;serif" w:hAnsi="Times New Roman;Times;serif"/>
          <w:b/>
          <w:i/>
          <w:sz w:val="20"/>
        </w:rPr>
        <w:t>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sz w:val="20"/>
        </w:rPr>
      </w:pPr>
      <w:bookmarkStart w:id="32" w:name="_a31d5c37_955b_4a63_ba7c_4038e57a3766"/>
      <w:bookmarkStart w:id="33" w:name="Item1CCYBERSECURITY"/>
      <w:bookmarkEnd w:id="32"/>
      <w:bookmarkEnd w:id="33"/>
      <w:r>
        <w:rPr>
          <w:rFonts w:ascii="Times New Roman;Times;serif" w:hAnsi="Times New Roman;Times;serif"/>
          <w:b/>
          <w:sz w:val="20"/>
        </w:rPr>
        <w:t>Item 1C.  </w:t>
      </w:r>
      <w:r>
        <w:rPr>
          <w:rFonts w:ascii="Times New Roman;Times;serif" w:hAnsi="Times New Roman;Times;serif"/>
          <w:b/>
          <w:i/>
          <w:sz w:val="20"/>
        </w:rPr>
        <w:t>CYBERSECURITY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implemented a cybersecurity program to assess, identify, and manage risks from cybersecurity threats that may result in material adverse effects on the confidentiality, integrity, and availability of our information systems.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Primary responsibility for executing our cybersecurity program rests with our Vice President of Corporate Strategy and Planning, who has extensive cybersecurity and information technology knowledge and skills gained from over 30 years of related work experience. The Vice President of Corporate Strategy and Planning is responsible for implementing, monitoring and maintaining cybersecurity and data protection practices across our business and reports directly to our Chief Executive Officer. The Vice President of Corporate Strategy and Planning at times attends meetings of the Board to report on any material developments to our risk management practices, including our cybersecurity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Vice President of Corporate Strategy and Planning meets regularly with members of our Information Technology team, whose responsibilities are dedicated solely to cybersecurity matters. On a quarterly basis, we hold Information Technology Steering Committee meetings, which are attended by our Information Technology team, Chief Executive Officer and Chief Financial Officer, where we discuss the risk management measures implemented to identify and mitigate data protection and cybersecurity risks. Our Information Technology team also works with our contracted outside counsel to oversee compliance with legal, regulatory and contractual cybersecurity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processes include automated tools and technical safeguards managed and monitored by our Information Technology team. We regularly conduct vulnerability testing and security audits. We also employ systems and processes designed to oversee, identify, and reduce the potential impact of a security incident at a third-party vendor, service provider or customer or otherwise implicating the third-party technology and systems we use. In addition to our internal cybersecurity capabilities, we also at times engage assessors, auditors, or other third parties to assist with the assessment, identification, and management of cybersecurity risks.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has the primary responsibility to oversee cybersecurity matters. The Board periodically reviews the measures implemented by the Company to identify and mitigate risks from cybersecurity threats. As part of such reviews, the Board receives reports from the members of our management team responsible for executing our cybersecurity program, which may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discusses with such members of our management team our information technology systems and procedures on any material cybersecurity risks identified. We have protocols by which certain cybersecurity incidents are escalated within the Company and, where appropriate, reported to the Board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an Incident Response Plan that applies in the event of a cybersecurity threat or incident (the “IRP”) to provide a standardized framework for responding to 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 As an additional measure to facilitate our timely and comprehensive response to any security incident, we engage a third-party vendor on retainer to assist in such incidents.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third-party information technology vendors to support our operations, including our secure processing of personal, confidential, sensitive, proprietary and other types of information. Despite ongoing efforts to continue improvement of our own and our vendors’ ability to protect against cyber incidents, we may not be able to protect all information systems, and such incidents may lead to reputational harm, revenue and client loss, legal actions or statutory penalties, among other consequences. Risks from cybersecurity threats, including as a result of any previous cybersecurity incidents, have not materially affected us nor are they reasonably likely to materially affect us, including our business strategy, results of operations or financial condition.</w:t>
      </w:r>
    </w:p>
    <w:p>
      <w:pPr>
        <w:pStyle w:val="TextBody"/>
        <w:bidi w:val="0"/>
        <w:spacing w:before="0" w:after="240"/>
        <w:ind w:left="0" w:right="0" w:hanging="0"/>
        <w:jc w:val="both"/>
        <w:rPr>
          <w:rFonts w:ascii="Times New Roman;Times;serif" w:hAnsi="Times New Roman;Times;serif"/>
          <w:sz w:val="20"/>
        </w:rPr>
      </w:pPr>
      <w:bookmarkStart w:id="34" w:name="Item2PROPERTIES_99845"/>
      <w:bookmarkStart w:id="35" w:name="_31ba92a2_2096_4298_8eb6_65764d013440"/>
      <w:bookmarkEnd w:id="34"/>
      <w:bookmarkEnd w:id="35"/>
      <w:r>
        <w:rPr>
          <w:rFonts w:ascii="Times New Roman;Times;serif" w:hAnsi="Times New Roman;Times;serif"/>
          <w:b/>
          <w:sz w:val="20"/>
        </w:rPr>
        <w:t>Item 2.  </w:t>
      </w:r>
      <w:r>
        <w:rPr>
          <w:rFonts w:ascii="Times New Roman;Times;serif" w:hAnsi="Times New Roman;Times;serif"/>
          <w:b/>
          <w:i/>
          <w:sz w:val="20"/>
        </w:rPr>
        <w:t>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headquarters are located in a 34,570 square foot leased property in Midland, Texas. Additionally, we own two properties in Midland, including a 61,402 square foot property that we use as a field office, equipment and fabrication facility, and maintenance and repair shop, and a 6,600 square foot property that we use as an inventory field office and storage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a 5,181 square foot office in Plano, Texas consisting of office 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a 15,020 square foot facility in Calgary, Alberta consisting of office, warehouse and shop 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a 10,800 square foot facility in Wheatland County, Alberta consisting of shop 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existing facilities are being appropriately utilized and are well maintained, suitable for their intended use, and adequate to meet our current and future operating requirements.</w:t>
      </w:r>
    </w:p>
    <w:p>
      <w:pPr>
        <w:pStyle w:val="TextBody"/>
        <w:bidi w:val="0"/>
        <w:spacing w:before="0" w:after="240"/>
        <w:ind w:left="0" w:right="0" w:hanging="0"/>
        <w:jc w:val="both"/>
        <w:rPr>
          <w:rFonts w:ascii="Times New Roman;Times;serif" w:hAnsi="Times New Roman;Times;serif"/>
          <w:sz w:val="20"/>
        </w:rPr>
      </w:pPr>
      <w:bookmarkStart w:id="36" w:name="Item3LEGALPROCEEDINGS_473150"/>
      <w:bookmarkStart w:id="37" w:name="_a61d1f50_a5f3_4a3e_8212_f567835f9205"/>
      <w:bookmarkEnd w:id="36"/>
      <w:bookmarkEnd w:id="37"/>
      <w:r>
        <w:rPr>
          <w:rFonts w:ascii="Times New Roman;Times;serif" w:hAnsi="Times New Roman;Times;serif"/>
          <w:b/>
          <w:sz w:val="20"/>
        </w:rPr>
        <w:t>Item 3.  </w:t>
      </w:r>
      <w:r>
        <w:rPr>
          <w:rFonts w:ascii="Times New Roman;Times;serif" w:hAnsi="Times New Roman;Times;serif"/>
          <w:b/>
          <w:i/>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certain contingencies and legal proceedings affecting the Company, please refer to “Note 16, Commitments and Contingencies” in the Notes to the Consolidated Financial Statements, which is incorporated by reference herein.</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bookmarkStart w:id="38" w:name="Item4MINESAFETYDISCLOSURES_538585"/>
      <w:bookmarkStart w:id="39" w:name="_1ece41d5_989f_4774_94ae_55c1f8e28c17"/>
      <w:bookmarkEnd w:id="38"/>
      <w:bookmarkEnd w:id="39"/>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 w:name="PartII_146845"/>
      <w:bookmarkStart w:id="41" w:name="_bde9ae6d_e19e_4e87_9a59_7e7afd74d0df"/>
      <w:bookmarkEnd w:id="40"/>
      <w:bookmarkEnd w:id="41"/>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sz w:val="20"/>
        </w:rPr>
      </w:pPr>
      <w:bookmarkStart w:id="42" w:name="Item5MARKETFOROURCOMMONEQUITY_556225"/>
      <w:bookmarkEnd w:id="42"/>
      <w:r>
        <w:rPr>
          <w:rFonts w:ascii="Times New Roman;Times;serif" w:hAnsi="Times New Roman;Times;serif"/>
          <w:b/>
          <w:sz w:val="20"/>
        </w:rPr>
        <w:t>Item 5.  </w:t>
      </w:r>
      <w:r>
        <w:rPr>
          <w:rFonts w:ascii="Times New Roman;Times;serif" w:hAnsi="Times New Roman;Times;serif"/>
          <w:b/>
          <w:i/>
          <w:sz w:val="20"/>
        </w:rPr>
        <w:t>MARKET FOR OUR COMMON EQUITY AND RELATED 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trades on the NASDAQ under the symbol “DWSN.” As of March 27, 2026, we had 165 holders of record of our common stock. The actual number of shareholders is greater than the number of record holders and includes shareholders who are beneficial owners but whose shares are held in street name by brokers and other nominees.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table below represents the high and low sales prices per share for the periods shown. </w:t>
      </w:r>
    </w:p>
    <w:tbl>
      <w:tblPr>
        <w:tblW w:w="3933" w:type="dxa"/>
        <w:jc w:val="left"/>
        <w:tblInd w:w="0" w:type="dxa"/>
        <w:tblLayout w:type="fixed"/>
        <w:tblCellMar>
          <w:top w:w="0" w:type="dxa"/>
          <w:left w:w="0" w:type="dxa"/>
          <w:bottom w:w="0" w:type="dxa"/>
          <w:right w:w="0" w:type="dxa"/>
        </w:tblCellMar>
      </w:tblPr>
      <w:tblGrid>
        <w:gridCol w:w="1816"/>
        <w:gridCol w:w="346"/>
        <w:gridCol w:w="196"/>
        <w:gridCol w:w="421"/>
        <w:gridCol w:w="346"/>
        <w:gridCol w:w="196"/>
        <w:gridCol w:w="421"/>
        <w:gridCol w:w="1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53160" cy="175260"/>
                      <wp:effectExtent l="0" t="0" r="0" b="0"/>
                      <wp:wrapNone/>
                      <wp:docPr id="1" name="Frame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67335" cy="175260"/>
                      <wp:effectExtent l="0" t="0" r="0" b="0"/>
                      <wp:wrapNone/>
                      <wp:docPr id="4" name="Frame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67335" cy="175260"/>
                      <wp:effectExtent l="0" t="0" r="0" b="0"/>
                      <wp:wrapNone/>
                      <wp:docPr id="7" name="Frame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1285" cy="175260"/>
                      <wp:effectExtent l="0" t="0" r="0" b="0"/>
                      <wp:wrapNone/>
                      <wp:docPr id="8" name="Frame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High</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Low</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191"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191"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191"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27, 2026, the market price for our common stock was $3.25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 dividends were paid in 2025. On March 28, 2024, </w:t>
      </w:r>
      <w:r>
        <w:rPr>
          <w:rFonts w:ascii="Times New Roman;Times;serif" w:hAnsi="Times New Roman;Times;serif"/>
          <w:b/>
          <w:sz w:val="20"/>
        </w:rPr>
        <w:t>t</w:t>
      </w:r>
      <w:r>
        <w:rPr>
          <w:rFonts w:ascii="Times New Roman;Times;serif" w:hAnsi="Times New Roman;Times;serif"/>
          <w:sz w:val="20"/>
        </w:rPr>
        <w:t>he Company’s Board of Directors declared a special cash dividend on the company’s common stock of $0.32 per share, payable on May 6, 2024, to stockholders of record as of the close of business on April 22, 2024. The aggregate payment was approximately $9.9 million. Our Board of Directors considered our financial condition, results of operations, capital and legal requirements, economic and market conditions affecting the energy industry in general, and the oilfield services business in particular, and other factors deemed relevant by the board in determining whether or not to declare a dividend. Payment of any dividends in the future will be at the discretion of our board. There are currently no restrictions prohibiting us from paying dividends to our shareholders.</w:t>
      </w:r>
    </w:p>
    <w:p>
      <w:pPr>
        <w:pStyle w:val="TextBody"/>
        <w:bidi w:val="0"/>
        <w:spacing w:before="240" w:after="240"/>
        <w:ind w:left="0" w:right="0" w:hanging="0"/>
        <w:jc w:val="both"/>
        <w:rPr>
          <w:rFonts w:ascii="Times New Roman;Times;serif" w:hAnsi="Times New Roman;Times;serif"/>
          <w:sz w:val="20"/>
        </w:rPr>
      </w:pPr>
      <w:bookmarkStart w:id="43" w:name="Item6SELECTEDFINANCIALDATA_129736"/>
      <w:bookmarkStart w:id="44" w:name="_606aadf3_be9e_43ae_8ee2_bd40c099e17b"/>
      <w:bookmarkEnd w:id="43"/>
      <w:bookmarkEnd w:id="44"/>
      <w:r>
        <w:rPr>
          <w:rFonts w:ascii="Times New Roman;Times;serif" w:hAnsi="Times New Roman;Times;serif"/>
          <w:b/>
          <w:sz w:val="20"/>
        </w:rPr>
        <w:t>Item 6.  </w:t>
      </w:r>
      <w:r>
        <w:rPr>
          <w:rFonts w:ascii="Times New Roman;Times;serif" w:hAnsi="Times New Roman;Times;serif"/>
          <w:b/>
          <w:i/>
          <w:sz w:val="20"/>
        </w:rPr>
        <w:t>[RESERVED]</w:t>
      </w:r>
    </w:p>
    <w:p>
      <w:pPr>
        <w:pStyle w:val="TextBody"/>
        <w:bidi w:val="0"/>
        <w:spacing w:before="0" w:after="0"/>
        <w:ind w:left="0" w:right="0" w:hanging="0"/>
        <w:jc w:val="left"/>
        <w:rPr/>
      </w:pPr>
      <w:r>
        <w:rPr/>
        <w:t>​</w:t>
      </w:r>
    </w:p>
    <w:p>
      <w:pPr>
        <w:pStyle w:val="TextBody"/>
        <w:pBdr/>
        <w:bidi w:val="0"/>
        <w:spacing w:before="0" w:after="240"/>
        <w:ind w:left="0" w:right="0" w:hanging="792"/>
        <w:jc w:val="both"/>
        <w:rPr>
          <w:rFonts w:ascii="Times New Roman;Times;serif" w:hAnsi="Times New Roman;Times;serif"/>
          <w:sz w:val="20"/>
        </w:rPr>
      </w:pPr>
      <w:bookmarkStart w:id="45" w:name="Item7MANAGEMENTSDISCUSSION_921165"/>
      <w:bookmarkStart w:id="46" w:name="_57da3741_776d_42e5_a93b_c93a1640dae6"/>
      <w:bookmarkEnd w:id="45"/>
      <w:bookmarkEnd w:id="46"/>
      <w:r>
        <w:rPr>
          <w:rFonts w:ascii="Times New Roman;Times;serif" w:hAnsi="Times New Roman;Times;serif"/>
          <w:b/>
          <w:sz w:val="20"/>
        </w:rPr>
        <w:t>Item 7.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our financial statements and related notes thereto included elsewhere in this Form 10-K. Portions of this document that are not statements of historical or current fact are forward-looking statements that involve risk and uncertainties, such as statements of our plans, business strategy, objectives, expectations and intentions. This discussion contains forward-looking statements that involve risks and uncertainties. Please see “Business,” “Disclosure Regarding Forward-Looking Statements” and “Risk Factors” elsewhere in this Form 10-K.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discussion in conjunction with the financial statements and notes thereto included elsewhere in this Form 10-K. Unless the context requires otherwise, all references in this Item 7 to the “Company,” “we,” “us” or “our” refer to Dawson Geophysical Company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a leading provider of North American onshore seismic data acquisition services with operations throughout the continental U.S. and Canada. Substantially all of our revenues are derived from the seismic data acquisition services we provide to our clients. Our clients consist of major oil and gas companies, independent oil and gas operators, and providers of multi-client data libraries. Demand for our services depends upon the level of spending by these companies for exploration, production, development and field management activities, which depends, in large part, on oil and natural gas prices. Significant fluctuations in domestic oil and natural gas exploration and development activities related to commodity prices, as we have recently experienced, have affected, and will continue to affect, demand for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services and our results of operations, and such fluctuations continue to be the single most important factor affecting our business and results of operations.</w:t>
      </w:r>
    </w:p>
    <w:p>
      <w:pPr>
        <w:pStyle w:val="TextBody"/>
        <w:bidi w:val="0"/>
        <w:spacing w:lineRule="auto" w:line="314" w:before="0" w:after="120"/>
        <w:ind w:left="0" w:right="0" w:firstLine="720"/>
        <w:jc w:val="left"/>
        <w:rPr>
          <w:rFonts w:ascii="Times New Roman;Times;serif" w:hAnsi="Times New Roman;Times;serif"/>
          <w:sz w:val="20"/>
        </w:rPr>
      </w:pPr>
      <w:r>
        <w:rPr>
          <w:rFonts w:ascii="Times New Roman;Times;serif" w:hAnsi="Times New Roman;Times;serif"/>
          <w:sz w:val="20"/>
        </w:rPr>
        <w:t>The Company had one large channel crew and three smaller channel crews operating in the fourth quarter in the United States and into the first quarter of 2026. High crew utilization in the fourth quarter resulted in improved margins and profitability, and we expect an increase in utilization and revenue in the first quarter of 2026. We resumed our Canadian operations in the fourth quarter of 2025 with two crews and moved into the first quarter of 2026 with three large channel count crews. We anticipate our Canadian operations to have a successful first quarter.</w:t>
      </w:r>
    </w:p>
    <w:p>
      <w:pPr>
        <w:pStyle w:val="TextBody"/>
        <w:bidi w:val="0"/>
        <w:spacing w:lineRule="auto" w:line="314" w:before="0" w:after="0"/>
        <w:ind w:left="0" w:right="0" w:hanging="0"/>
        <w:jc w:val="left"/>
        <w:rPr/>
      </w:pPr>
      <w:r>
        <w:rPr/>
        <w:t>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As of December 31, 2025, we have taken delivery of $20.9 million of equipment and issued five Geospace Notes with an aggregate principal of approximately $15.5 million. We have observed significant demand for this new equipment from our customers during 2025, and into the first half of 2026.</w:t>
      </w:r>
    </w:p>
    <w:p>
      <w:pPr>
        <w:pStyle w:val="TextBody"/>
        <w:pBdr/>
        <w:shd w:fill="FFFFFF" w:val="clear"/>
        <w:bidi w:val="0"/>
        <w:spacing w:lineRule="auto" w:line="314" w:before="0" w:after="0"/>
        <w:ind w:left="0" w:right="0" w:firstLine="720"/>
        <w:jc w:val="left"/>
        <w:rPr>
          <w:rFonts w:ascii="Times New Roman;Times;serif" w:hAnsi="Times New Roman;Times;serif"/>
          <w:sz w:val="20"/>
        </w:rPr>
      </w:pPr>
      <w:r>
        <w:rPr>
          <w:rFonts w:ascii="Times New Roman;Times;serif" w:hAnsi="Times New Roman;Times;serif"/>
          <w:sz w:val="20"/>
        </w:rPr>
        <w:t>While our revenues are mainly affected by the level of client demand for our services, our revenues are also affected by the pricing for our services that we negotiate with our clients and the productivity and utilization level of our data acquisition crews. Factors impacting productivity and utilization levels include client demand, commodity prices, whether we enter into turnkey or day-rate contracts with our clients, the number and size of crews, the number of recording channels per crew, crew downtime related to inclement weather, delays in acquiring land access permits, agricultural or hunting activity, holiday schedules, short winter days, crew repositioning and equipment failure. To the extent we experience these factors, our operating results may be affected and vary from quarter to quarter. Consequently, our efforts to negotiate more favorable contract terms in our supplemental service agreements, mitigate permit access delays and improve overall crew productivity may contribute to growth in our revenues.</w:t>
      </w:r>
    </w:p>
    <w:p>
      <w:pPr>
        <w:pStyle w:val="TextBody"/>
        <w:pBdr/>
        <w:shd w:fill="FFFFFF" w:val="clear"/>
        <w:bidi w:val="0"/>
        <w:spacing w:lineRule="auto" w:line="314" w:before="0" w:after="0"/>
        <w:ind w:left="0" w:right="0" w:firstLine="720"/>
        <w:jc w:val="left"/>
        <w:rPr>
          <w:rFonts w:ascii="Times New Roman;Times;serif" w:hAnsi="Times New Roman;Times;serif"/>
          <w:sz w:val="20"/>
        </w:rPr>
      </w:pPr>
      <w:r>
        <w:rPr>
          <w:rFonts w:ascii="Times New Roman;Times;serif" w:hAnsi="Times New Roman;Times;serif"/>
          <w:sz w:val="20"/>
        </w:rPr>
        <w:t>The majority of our revenues were derived from turnkey contracts for the years ending December 31, 2025, and 2024. While turnkey contracts allow us to capitalize on improved crew productivity, we also bear more risk related to crew downtime or other operational delays. We expect the majority of our contracts to be turnkey as we continue our operations in the midwest, western and southwestern regions of the U.S. in which turnkey contracts are more common.</w:t>
      </w:r>
    </w:p>
    <w:p>
      <w:pPr>
        <w:pStyle w:val="TextBody"/>
        <w:pBdr/>
        <w:shd w:fill="FFFFFF" w:val="clear"/>
        <w:bidi w:val="0"/>
        <w:spacing w:lineRule="auto" w:line="314" w:before="0" w:after="0"/>
        <w:ind w:left="0" w:right="0" w:firstLine="720"/>
        <w:jc w:val="left"/>
        <w:rPr>
          <w:rFonts w:ascii="Times New Roman;Times;serif" w:hAnsi="Times New Roman;Times;serif"/>
          <w:sz w:val="20"/>
        </w:rPr>
      </w:pPr>
      <w:r>
        <w:rPr>
          <w:rFonts w:ascii="Times New Roman;Times;serif" w:hAnsi="Times New Roman;Times;serif"/>
          <w:sz w:val="20"/>
        </w:rPr>
        <w:t>Over time, we have experienced continued increases in recording channel capacity on a per-crew or project basis and high utilization of cableless and multicomponent equipment. This increase in channel count demand is driven by client needs and is necessary in order to produce higher resolution images, increase crew efficiencies and undertake larger scale projects. In response to project-based channel requirements, we routinely deploy a variable number of channels on a variable number of crews in an effort to maximize asset utilization and meet client needs.</w:t>
      </w:r>
    </w:p>
    <w:p>
      <w:pPr>
        <w:pStyle w:val="TextBody"/>
        <w:shd w:fill="FFFFFF" w:val="clear"/>
        <w:bidi w:val="0"/>
        <w:spacing w:lineRule="auto" w:line="314"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While the markets for oil and natural gas have been very volatile and are likely to continue to be so in the future, and we can make no assurances as to future levels of domestic exploration or commodity prices, we believe opportunities exist for us to enhance our market position by responding to our clients’ continuing desire for higher resolution subsurface images.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business has two reportable segments, U.S. operations and Canada operations. Tony Clark, Chief Executive Officer, is our current chief operating decision maker. Mr. Clark reviews the discrete segment financial information on a geographic basis for the U.S. operations and Canada operations. The revenue for both segments is generated by the same services, which utilize the same type of equipment and personnel. The performance of our segments is evaluated primarily on Adjusted EBITDA. We define Adjusted EBITDA as our net income (loss), before (i) interest expense, net, (ii) income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tax expense or benefit, (iii) depreciation and amortization and (iv) (iv) non-recurring and other charges, such as strategic transaction expenses or severance expenses.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Wilks Brothers, LLC (“Wilks”) and its affiliates control approximately 80% of our common stock. 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In connection with these discussions, we incurred $528,000 in expenses in the fourth quarter of 2025, which is included in general and administrative expense in our consolidated statement of operations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and/or its affiliates, including whether to pursue or decline to pursue any proposed transaction.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Year Ended December 31, 2025 versus Year Ended December 31, 2024</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U.S. Fee Revenues.</w:t>
      </w:r>
      <w:r>
        <w:rPr>
          <w:rFonts w:ascii="Times New Roman;Times;serif" w:hAnsi="Times New Roman;Times;serif"/>
          <w:sz w:val="20"/>
        </w:rPr>
        <w:t xml:space="preserve"> Fee revenues for the year ended December 31, 2025, were $46.3 million compared to $40.7 million for the same period of 2024. The increase in revenues was primarily a result of increased demand for our services.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Canadian Fee Revenues.</w:t>
      </w:r>
      <w:r>
        <w:rPr>
          <w:rFonts w:ascii="Times New Roman;Times;serif" w:hAnsi="Times New Roman;Times;serif"/>
          <w:sz w:val="20"/>
        </w:rPr>
        <w:t xml:space="preserve"> Fee revenues for the year ended December 31, 2025, were $15.5 million compared to $12.7 million for the same period of 2024. The increase in revenues was primarily a result of increased demand for our services in Canada.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 xml:space="preserve">Revenues for the year ended December 31, 2025, were $75.6 million compared to $74.2 million for the same period of 2024.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U.S. Fee Operating Expenses.</w:t>
      </w:r>
      <w:r>
        <w:rPr>
          <w:rFonts w:ascii="Times New Roman;Times;serif" w:hAnsi="Times New Roman;Times;serif"/>
          <w:sz w:val="20"/>
        </w:rPr>
        <w:t xml:space="preserve"> Fee operating expenses for the year ended December 31, 2025, increased to $37.7 million compared to $32.8 million for the same period of 2024. Acquisition expenses remained approximately 80% of revenues in 2024 and 2025. The increase in operating expenses was due to an overall increase in crew production and utilization.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Canadian Fee Operating Expenses.</w:t>
      </w:r>
      <w:r>
        <w:rPr>
          <w:rFonts w:ascii="Times New Roman;Times;serif" w:hAnsi="Times New Roman;Times;serif"/>
          <w:sz w:val="20"/>
        </w:rPr>
        <w:t xml:space="preserve"> Fee operating expenses for the year ended December 31, 2025 increased to $11.1 million compared to $9.5 million for the same period of 2024. Acquisition expenses decreased from 75% of revenues to 72% of revenues due to utilization of single node channels in our operations and higher channel count jobs in 2025. The increase in operating expenses was mainly due to increased demand for our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Reimbursable Revenues and Costs</w:t>
      </w:r>
      <w:r>
        <w:rPr>
          <w:rFonts w:ascii="Times New Roman;Times;serif" w:hAnsi="Times New Roman;Times;serif"/>
          <w:sz w:val="20"/>
        </w:rPr>
        <w:t xml:space="preserve">. These revenues and expenses are passed through to our clients and are job specific and vary significantly from year to year. The costs are agreed to by our clients prior to contracting with outside vendors for the various tasks.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expenses decreased 9% to $9.0 million for the year ended December 31, 2025, compared to $9.9 million for the same period of 2024. General and administrative expenses in 2025 included $528,000 in strategic transaction costs related to a potential transaction(s) with our largest shareholder, Wilks Brothers, LLC, and/or any of its affiliates, as described above under “Discussions with Controlling Stockholder.” The primary factors for the decrease in general and administrative expenses are related to continued cost management and streamlining procedures. General and administrative expenses did not include any severance expenses for the year ended December 31, 2025, though we did record $0.5 million of severance expenses for the same period of 2024 in connection with the termination of a portion of our workforce. We anticipate general and administrative expenses to remain similar to 2025 during 2026, excluding additional strategic transaction costs.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Depreciation Expense.</w:t>
      </w:r>
      <w:r>
        <w:rPr>
          <w:rFonts w:ascii="Times New Roman;Times;serif" w:hAnsi="Times New Roman;Times;serif"/>
          <w:sz w:val="20"/>
        </w:rPr>
        <w:t xml:space="preserve"> Depreciation for the years ended December 31, 2025 and 2024, was $5.7 million. The stability of our depreciation expense is a result of limiting capital expenditures to necessary maintenance capital requirements in recent years. Our depreciation expense is expected to increase during 2026 primarily due to the asset acquired pursuant to the Equipment Purchase Agreement during the second half of 2025 in addition to our normal maintenance capital expenditures needed to maintain our existing asset base.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total operating costs for the year ended December 31, 2025 were $77.2 million, representing a 2% decrease from the corresponding period of 2024. This change was primarily due to the factors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Income tax expense was $6,000 for the year ended December 31, 2025, compared to $7,000 for the same period of 2024. The effective tax rates for the years ended December 31, 2025, and 2024 were approximately -0.3% and -0.2%, respectively. Our effective tax rates differ from the statutory federal rate of 21% for certain items such as state and local taxes, valuation allowances, and non-deductible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Adjusted EBITDA (Non-GAAP measure)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define Adjusted EBITDA as net income (loss) plus interest expense, interest income, income taxes, depreciation, and amortization expense, and non-recurring and other charges, such as strategic transaction expenses or severance expenses. Our management uses Adjusted EBITDA as a supplemental financial measure to assess: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of our assets without regard to financing methods, capital structures, taxes or historical cost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performance over time in relation to other companies that own similar assets and that we believe calculate Adjusted EBITDA in a similar manner;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assets to generate cash sufficient for us to pay potential interest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understand that such data are used by investors to assess our performance. However, the term Adjusted EBITDA is not defined under generally accepted accounting principles (“GAAP”), and Adjusted EBITDA is not a measure of operating income or operating performance presented in accordance with GAAP. When assessing our operating performance, investors and others should not consider this data in isolation or as a substitute for net income (loss), cash flow from operating activities or other cash flow data calculated in accordance with GAAP. In addition, our Adjusted EBITDA may not be comparable to Adjusted EBITDA or similarly titled measures utilized by other companies because other companies may not calculate Adjusted EBITDA in the same manner as us. Further, the results presented by Adjusted EBITDA cannot be achieved without incurring the costs that the measure excludes: interest, taxes, and depreciation and amortization.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reconciliation of our Adjusted EBITDA to our net cash (used in) provided by operating activities and net (loss) income, which are the most directly comparable GAAP financial measures, are provided in the following tables (in thousands):</w:t>
      </w:r>
    </w:p>
    <w:tbl>
      <w:tblPr>
        <w:tblW w:w="9717"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216"/>
        <w:gridCol w:w="564"/>
        <w:gridCol w:w="109"/>
        <w:gridCol w:w="256"/>
        <w:gridCol w:w="88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34260" cy="175260"/>
                      <wp:effectExtent l="0" t="0" r="0" b="0"/>
                      <wp:wrapNone/>
                      <wp:docPr id="9" name="Frame9"/>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00685" cy="175260"/>
                      <wp:effectExtent l="0" t="0" r="0" b="0"/>
                      <wp:wrapNone/>
                      <wp:docPr id="10" name="Frame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00685" cy="175260"/>
                      <wp:effectExtent l="0" t="0" r="0" b="0"/>
                      <wp:wrapNone/>
                      <wp:docPr id="12" name="Frame1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30860" cy="175260"/>
                      <wp:effectExtent l="0" t="0" r="0" b="0"/>
                      <wp:wrapNone/>
                      <wp:docPr id="14" name="Frame14"/>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0685" cy="175260"/>
                      <wp:effectExtent l="0" t="0" r="0" b="0"/>
                      <wp:wrapNone/>
                      <wp:docPr id="16" name="Frame1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58140" cy="175260"/>
                      <wp:effectExtent l="0" t="0" r="0" b="0"/>
                      <wp:wrapNone/>
                      <wp:docPr id="18" name="Frame18"/>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61340" cy="175260"/>
                      <wp:effectExtent l="0" t="0" r="0" b="0"/>
                      <wp:wrapNone/>
                      <wp:docPr id="20" name="Frame20"/>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604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367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7,694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6,283</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(2,821)</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(1,866)</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3,928</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4,951</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(loss) income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(1,610)</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1,961</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r>
        <w:rPr/>
        <w:t>​</w:t>
      </w:r>
    </w:p>
    <w:tbl>
      <w:tblPr>
        <w:tblW w:w="8230" w:type="dxa"/>
        <w:jc w:val="left"/>
        <w:tblInd w:w="0" w:type="dxa"/>
        <w:tblLayout w:type="fixed"/>
        <w:tblCellMar>
          <w:top w:w="0" w:type="dxa"/>
          <w:left w:w="0" w:type="dxa"/>
          <w:bottom w:w="0" w:type="dxa"/>
          <w:right w:w="0" w:type="dxa"/>
        </w:tblCellMar>
      </w:tblPr>
      <w:tblGrid>
        <w:gridCol w:w="2236"/>
        <w:gridCol w:w="196"/>
        <w:gridCol w:w="631"/>
        <w:gridCol w:w="109"/>
        <w:gridCol w:w="216"/>
        <w:gridCol w:w="564"/>
        <w:gridCol w:w="109"/>
        <w:gridCol w:w="259"/>
        <w:gridCol w:w="83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19860" cy="175260"/>
                      <wp:effectExtent l="0" t="0" r="0" b="0"/>
                      <wp:wrapNone/>
                      <wp:docPr id="21" name="Frame2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00685" cy="175260"/>
                      <wp:effectExtent l="0" t="0" r="0" b="0"/>
                      <wp:wrapNone/>
                      <wp:docPr id="22" name="Frame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58140" cy="175260"/>
                      <wp:effectExtent l="0" t="0" r="0" b="0"/>
                      <wp:wrapNone/>
                      <wp:docPr id="24" name="Frame24"/>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30860" cy="175260"/>
                      <wp:effectExtent l="0" t="0" r="0" b="0"/>
                      <wp:wrapNone/>
                      <wp:docPr id="26" name="Frame26"/>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00685" cy="175260"/>
                      <wp:effectExtent l="0" t="0" r="0" b="0"/>
                      <wp:wrapNone/>
                      <wp:docPr id="28" name="Frame2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58140" cy="175260"/>
                      <wp:effectExtent l="0" t="0" r="0" b="0"/>
                      <wp:wrapNone/>
                      <wp:docPr id="30" name="Frame30"/>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1340" cy="175260"/>
                      <wp:effectExtent l="0" t="0" r="0" b="0"/>
                      <wp:wrapNone/>
                      <wp:docPr id="32" name="Frame32"/>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599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223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(4,082)</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2,141</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4,859</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5,736</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1,961</w:t>
            </w:r>
          </w:p>
        </w:tc>
      </w:tr>
    </w:tbl>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Introduction.</w:t>
      </w:r>
      <w:r>
        <w:rPr>
          <w:rFonts w:ascii="Times New Roman;Times;serif" w:hAnsi="Times New Roman;Times;serif"/>
          <w:sz w:val="20"/>
        </w:rPr>
        <w:t xml:space="preserve"> Our principal sources of cash are amounts earned from the seismic data acquisition services we provide to our clients. Our principal uses of cash are the amounts used to provide these services, including expenses related to our operations and acquiring new equipment. Accordingly, our cash position depends (as do our revenues) on the level of demand for our services. Management believes cash flow from operations, cash on hand and amounts available under our Revolving Credit Note (defined below) are sufficient to fund operating and investing cash flow requirements, as well as our obligations under the Geospace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w:t>
      </w:r>
      <w:r>
        <w:rPr>
          <w:rFonts w:ascii="Times New Roman;Times;serif" w:hAnsi="Times New Roman;Times;serif"/>
          <w:sz w:val="20"/>
        </w:rPr>
        <w:t xml:space="preserve"> The following table shows our sources and uses of cash (in thousands) for the years ended December 31, 2025 and 2024:</w:t>
      </w:r>
    </w:p>
    <w:tbl>
      <w:tblPr>
        <w:tblW w:w="9027" w:type="dxa"/>
        <w:jc w:val="left"/>
        <w:tblInd w:w="0" w:type="dxa"/>
        <w:tblLayout w:type="fixed"/>
        <w:tblCellMar>
          <w:top w:w="0" w:type="dxa"/>
          <w:left w:w="0" w:type="dxa"/>
          <w:bottom w:w="0" w:type="dxa"/>
          <w:right w:w="0" w:type="dxa"/>
        </w:tblCellMar>
      </w:tblPr>
      <w:tblGrid>
        <w:gridCol w:w="6331"/>
        <w:gridCol w:w="346"/>
        <w:gridCol w:w="215"/>
        <w:gridCol w:w="643"/>
        <w:gridCol w:w="352"/>
        <w:gridCol w:w="215"/>
        <w:gridCol w:w="734"/>
        <w:gridCol w:w="191"/>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20185" cy="175260"/>
                      <wp:effectExtent l="0" t="0" r="0" b="0"/>
                      <wp:wrapNone/>
                      <wp:docPr id="33" name="Frame33"/>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6525" cy="175260"/>
                      <wp:effectExtent l="0" t="0" r="0" b="0"/>
                      <wp:wrapNone/>
                      <wp:docPr id="35" name="Frame3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08305" cy="175260"/>
                      <wp:effectExtent l="0" t="0" r="0" b="0"/>
                      <wp:wrapNone/>
                      <wp:docPr id="36" name="Frame36"/>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3520" cy="175260"/>
                      <wp:effectExtent l="0" t="0" r="0" b="0"/>
                      <wp:wrapNone/>
                      <wp:docPr id="37" name="Frame3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6525" cy="175260"/>
                      <wp:effectExtent l="0" t="0" r="0" b="0"/>
                      <wp:wrapNone/>
                      <wp:docPr id="38" name="Frame3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6090" cy="175260"/>
                      <wp:effectExtent l="0" t="0" r="0" b="0"/>
                      <wp:wrapNone/>
                      <wp:docPr id="39" name="Frame39"/>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1285" cy="175260"/>
                      <wp:effectExtent l="0" t="0" r="0" b="0"/>
                      <wp:wrapNone/>
                      <wp:docPr id="40" name="Frame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1" w:type="dxa"/>
            <w:tcBorders/>
            <w:vAlign w:val="center"/>
          </w:tcPr>
          <w:p>
            <w:pPr>
              <w:pStyle w:val="TableContents"/>
              <w:bidi w:val="0"/>
              <w:spacing w:before="0" w:after="0"/>
              <w:ind w:left="0" w:right="0" w:hanging="0"/>
              <w:jc w:val="left"/>
              <w:rPr/>
            </w:pPr>
            <w:r>
              <w:rPr/>
              <w:t>​</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52"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0"/>
              <w:ind w:left="0" w:right="0" w:hanging="0"/>
              <w:jc w:val="left"/>
              <w:rPr/>
            </w:pPr>
            <w:r>
              <w:rPr/>
              <w:t> </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13,977</w:t>
            </w:r>
          </w:p>
        </w:tc>
        <w:tc>
          <w:tcPr>
            <w:tcW w:w="352"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(1,866)</w:t>
            </w:r>
          </w:p>
        </w:tc>
        <w:tc>
          <w:tcPr>
            <w:tcW w:w="191" w:type="dxa"/>
            <w:tcBorders/>
            <w:vAlign w:val="center"/>
          </w:tcPr>
          <w:p>
            <w:pPr>
              <w:pStyle w:val="TableContents"/>
              <w:bidi w:val="0"/>
              <w:spacing w:before="0" w:after="0"/>
              <w:ind w:left="0" w:right="0" w:hanging="0"/>
              <w:jc w:val="lef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(6,733)</w:t>
            </w:r>
          </w:p>
        </w:tc>
        <w:tc>
          <w:tcPr>
            <w:tcW w:w="352"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w:t>
            </w:r>
          </w:p>
        </w:tc>
        <w:tc>
          <w:tcPr>
            <w:tcW w:w="352"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(11,563)</w:t>
            </w:r>
          </w:p>
        </w:tc>
        <w:tc>
          <w:tcPr>
            <w:tcW w:w="191" w:type="dxa"/>
            <w:tcBorders/>
            <w:vAlign w:val="center"/>
          </w:tcPr>
          <w:p>
            <w:pPr>
              <w:pStyle w:val="TableContents"/>
              <w:bidi w:val="0"/>
              <w:spacing w:before="0" w:after="0"/>
              <w:ind w:left="0" w:right="0" w:hanging="0"/>
              <w:jc w:val="left"/>
              <w:rPr/>
            </w:pPr>
            <w:r>
              <w:rPr/>
              <w:t>​</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52"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3,522</w:t>
            </w:r>
          </w:p>
        </w:tc>
        <w:tc>
          <w:tcPr>
            <w:tcW w:w="352"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Year Ended December 31, 2025 versus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$14.0 million for the year ended December 31, 2025, and net cash used in operating activities was $1.9 million for the same period of 2024. The increase in cash provided by operating activities to cash used in operating activities was primarily due to an increase in revenue, improved margins and changes in operating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$6.7 million for the year ended December 31, 2025, and includes cash capital expenditures of $6.8 million and acquisitions of short-term investments of $370,000, offset by $468,000 in proceeds from the disposal of assets. Net cash used in investing activities was $0.7 million for the year ended December 31, 2024, and includes cash capital expenditures of $1.9 million, offset by $533,000 in proceeds from the disposal of assets, $332,000 proceeds from insurance claims and $265,000 proceeds from maturity of short-term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financing activities was $3.7 million for the year ended December 31, 2025, and includes principal payments of $2.7 million on our notes and $934,000 on our finance leases. Net cash used in financing activities was $11.6 million for the year ended December 31, 2024, and includes dividend payment of approximately $9.9 million, principal payments of $947,000 on our notes and $680,000 on our finance leases.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continually strive to supply our clients with technologically advanced 3-D data acquisition recording services and data processing capabilities. We maintain equipment in and out of service in anticipation of increased future demand for our services.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Risks and Uncertainties.</w:t>
      </w:r>
      <w:r>
        <w:rPr>
          <w:rFonts w:ascii="Times New Roman;Times;serif" w:hAnsi="Times New Roman;Times;serif"/>
          <w:sz w:val="20"/>
        </w:rPr>
        <w:t xml:space="preserve"> Our ability to be profitable in the future will depend on many factors beyond our control, but primarily on the level of demand for land-based seismic data acquisition services by oil and natural gas exploration and development companies. We incurred net losses of $1.9 million for the year ended December 31, 2025, and $4.1 million for the year ended December 31, 2024. As of December 31, 2025, we had $4.9 million in cash, and a negative working capital balance of $5.0 million. We believe that our cash flows from operations, and our current financial position are adequate to fund our continued operations and meet our obligations for the next 12 months.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Resources</w:t>
      </w:r>
      <w:r>
        <w:rPr>
          <w:rFonts w:ascii="Times New Roman;Times;serif" w:hAnsi="Times New Roman;Times;serif"/>
          <w:sz w:val="20"/>
        </w:rPr>
        <w:t>. Historically, we have primarily relied on cash generated from operations, cash reserves and borrowings from commercial banks to fund our working capital requirements and, to some extent, our capital expenditures. Recently, we have funded some of our capital expenditures through finance leases and equipment term loans. From time to time in the past, we have also funded our capital expenditures and other financing needs through public equity offerings. We believe that our capital resources, including our cash and cash flow from operations are sufficient to meet our operational needs.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Equify Credit Facility.</w:t>
      </w:r>
      <w:r>
        <w:rPr>
          <w:rFonts w:ascii="Times New Roman;Times;serif" w:hAnsi="Times New Roman;Times;serif"/>
          <w:sz w:val="20"/>
        </w:rPr>
        <w:t xml:space="preserve"> On October 31, 2025, Dawson Geophysical Company and Dawson Operating, as borrowers (the “Borrowers”), entered into a Revolving Credit Note (the “Revolving Credit Note”) in favor of Equify Financial, as lender (the “Lender”), a related party affiliated through common control.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The Borrowers may prepay up to 75% of the then outstanding principal and accrued but unpaid interest at any time without a prepayment fee. The obligations under the Revolving Credit Note are secured by a lien on our vibrator energy source vehicles, pursuant to a Security Agreement by and between us and Lender, dated as of October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outstanding amounts owed under the Revolving Credit Note become due and payable no later than the maturity date of November 20, 2028, and are subject to acceleration upon the occurrence of events of default which we consider usual and customary for an agreement of this type, including failure to make payments under the Revolving Credit Note, non-performance of covenants and obligations or insolvency or bankruptcy. As of December 31, 2025, there were no outstanding draws on this line of credit and the amount available to borrow was approximately $4.9 million.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Letters of Credit.</w:t>
      </w:r>
      <w:r>
        <w:rPr>
          <w:rFonts w:ascii="Times New Roman;Times;serif" w:hAnsi="Times New Roman;Times;serif"/>
          <w:sz w:val="20"/>
        </w:rPr>
        <w:t xml:space="preserve"> As of December 31, 2025, we have one letter of credit in the amount of $370,000 to support our insurance policies. The letter of credit is secured by a certificate of deposit with First Financial Bank.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Indebtedness.</w:t>
      </w:r>
      <w:r>
        <w:rPr>
          <w:rFonts w:ascii="Times New Roman;Times;serif" w:hAnsi="Times New Roman;Times;serif"/>
          <w:sz w:val="20"/>
        </w:rPr>
        <w:t xml:space="preserve"> As of December 31, 2025, we have two notes payable to a finance company for various insurance premiums totaling $258,000.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lease certain seismic recording equipment and vehicles under leases classified as finance leases. Our Consolidated Balance Sheet as of December 31, 2025 includes finance leases of $2.6 million.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Geospace Notes Payable. </w:t>
      </w:r>
      <w:r>
        <w:rPr>
          <w:rFonts w:ascii="Times New Roman;Times;serif" w:hAnsi="Times New Roman;Times;serif"/>
          <w:sz w:val="20"/>
        </w:rPr>
        <w:t xml:space="preserve">In connection with the Purchase Agreement, we have agreed to the terms under the Geospace Notes. We executed our first Geospace Note in August of 2025, for approximately $3.6 million. Our second Geospace Note was executed in September 2025 for approximately $3.9 million. Our third Geospace Note was executed in October of 2025 for approximately $3.5 million. Our fourth Geospace Note was executed in November of 2025 for approximately $3.5 million. Our fifth Geospace Note was executed in December of 2025 for approximately $0.9 million. Each Note will be for a term of 36 months with a fixed interest rate of 8.75% the combined monthly principal and interest payments due on these notes totals approximately $489,000. These notes are collateralized by both the equipment purchased and two owned properties in Midland that consist of a 61,402 square foot property used as a field office and a 6,600 square foot property used as an inventory and storage facility. As of December 31, 2025 we have a principal balance on these five notes payable of $14.7 million. We received the sixth and final delivery of equipment in January of 2026 and executed our sixth note in January of 2026 for approximately $2.7 million.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Contractual Obligations.</w:t>
      </w:r>
      <w:r>
        <w:rPr>
          <w:rFonts w:ascii="Times New Roman;Times;serif" w:hAnsi="Times New Roman;Times;serif"/>
          <w:sz w:val="20"/>
        </w:rPr>
        <w:t xml:space="preserve"> We believe that our capital resources, including our cash and cash flow from operations, will be adequate to meet our current operational needs. We believe that we will be able to finance our 2026 capital expenditures through cash flow from operations and borrowings from commercial lenders. However, our ability to meet debt repayment obligations and fund future capital requirements will depend principally upon our future operating performance, which is subject to the risks inherent in our business, and will also depend on the extent to which the current economic climate adversely affects the ability of our customers, and/or potential customers, to promptly pay amounts owing to us under their service contracts with us.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had no off-balance sheet arrangements.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our financial statements in conformity with GAAP requires that certain assumptions and estimates be made that affect the reported amounts of assets and liabilities at the date of our financial statements and the reported amounts of revenues and expenses during the reporting periods. Because of the use of assumptions and estimates inherent in the reporting process, actual results could differ from those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Impairment of Long-Lived Assets.</w:t>
      </w:r>
      <w:r>
        <w:rPr>
          <w:rFonts w:ascii="Times New Roman;Times;serif" w:hAnsi="Times New Roman;Times;serif"/>
          <w:sz w:val="20"/>
        </w:rPr>
        <w:t xml:space="preserve"> Long-lived assets are tested for impairment at the asset group level when events or changes in circumstances indicate the carrying value of the asset group may not be recoverable. Recognition of an impairment charge is required if future expected undiscounted net cash flows are insufficient to recover the carrying value of the asset group and the fair value of the asset group is below its carrying value. Depending upon the facts and circumstances, when indicators of asset impairment exist, management will test the asset group for impairment through developing a forecast of future undiscounted cash flows expected to be generated by the asset group or by estimating the fair value of assets within the asset group in lieu of detailed cash flow projections. If either the future undiscounted cashflows expected to be generated by the asset group or the fair of the assets within the asset group exceeds the carrying value of the asset group no impairment would be recognized. During the year ended December 31, 2024, management tested two of its asset groups for impairment through estimating the fair value of certain assets within the asset groups using a market approach or cost approach, as applicable. Because the fair value of these assets collectively exceeded the carrying value of the asset group, no impairment charges were recognized for the year ended December 31, 2024. No impairment test was required during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We account for income taxes by recognizing amounts of taxes payable or refundable for the current year, and by using an asset and liability approach in recognizing the amount of deferred tax assets and liabilities for the future tax consequences of events that have been recognized in our financial statements or tax returns. We determine deferred taxes by identifying the types and amounts of existing temporary differences, measuring the total deferred tax asset or liability using the applicable tax rate in effect for the year in which those temporary differences are expected to be recovered or settled. The effect of a change in tax rates of deferred tax assets and liabilities is recognized in income in the year of an enacted rate change. The deferred tax asset is reduced by a valuation allowance if, based on available evidence, it is more likely than not that some portion or all of the deferred tax asset will not be realized. Our methodology for recording income taxes requires judgment regarding assumptions and the use of estimates, including determining our annual effective tax rate and the valuation of deferred tax assets, which can create a variance between actual results and estimates and could have a material impact on our provision or benefit for income taxes. Due to recent operating losses and valuation allowances, we may recognize reduced or no tax benefits on future losses on the Consolidated Statements of Operations and Comprehensive Loss. Our effective tax rates differ from the statutory federal rate of 21% for certain items such as state and local taxes, valuation allowances, and non-deductible expenses. The tax years that are open to examination for the U.S. are for years after 2021, for Canada and Texas it is years after 2020.  </w:t>
      </w:r>
    </w:p>
    <w:p>
      <w:pPr>
        <w:pStyle w:val="TextBody"/>
        <w:bidi w:val="0"/>
        <w:spacing w:before="0" w:after="240"/>
        <w:ind w:left="0" w:right="0" w:hanging="0"/>
        <w:jc w:val="both"/>
        <w:rPr>
          <w:rFonts w:ascii="Times New Roman;Times;serif" w:hAnsi="Times New Roman;Times;serif"/>
          <w:sz w:val="20"/>
        </w:rPr>
      </w:pPr>
      <w:bookmarkStart w:id="47" w:name="Item7AQUANTITATIVEANDQUALITATIVE_580097"/>
      <w:bookmarkStart w:id="48" w:name="_8835eda9_c24e_4151_ad52_3ee466f2dcee"/>
      <w:bookmarkEnd w:id="47"/>
      <w:bookmarkEnd w:id="48"/>
      <w:r>
        <w:rPr>
          <w:rFonts w:ascii="Times New Roman;Times;serif" w:hAnsi="Times New Roman;Times;serif"/>
          <w:b/>
          <w:sz w:val="20"/>
        </w:rPr>
        <w:t>Item 7A.  </w:t>
      </w:r>
      <w:r>
        <w:rPr>
          <w:rFonts w:ascii="Times New Roman;Times;serif" w:hAnsi="Times New Roman;Times;serif"/>
          <w:b/>
          <w:i/>
          <w:sz w:val="20"/>
        </w:rPr>
        <w:t>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certain market risks arising from the use of financial instruments in the ordinary course of business. These risks arise primarily as a result of potential changes to operating concentration of credit risk and changes in interest rates. We have not entered into any hedge arrangements, commodity swap agreements, commodity futures, options or other derivative financial instruments. We also conduct business in Canada, which subjects our results of operations and cash flows to foreign currency exchange rate risk.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Concentration of Credit Risk.</w:t>
      </w:r>
      <w:r>
        <w:rPr>
          <w:rFonts w:ascii="Times New Roman;Times;serif" w:hAnsi="Times New Roman;Times;serif"/>
          <w:sz w:val="20"/>
        </w:rPr>
        <w:t xml:space="preserve"> Our principal market risks include fluctuations in commodity prices, which affect demand for and pricing of our services, and the risk related to the concentration of our clients in the oil and natural gas industry. Since all of our clients are involved in the oil and natural gas industry, there may be a positive or negative effect on our exposure to credit risk because our clients may be similarly affected by changes in economic and industry conditions. As an example, changes to existing regulations or the adoption of new regulations may unfavorably impact us, our suppliers or our clients. In the normal course of business, we provide credit terms to our clients. Accordingly, we perform ongoing credit evaluations of our clients and maintain allowances for possible losses. Our historical experience supports our allowance for expected credit losses of $250,000 at December 31, 2025. This does not necessarily indicate that it would be adequate to cover a payment default by one large or several smaller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provide services to certain key clients that account for a significant percentage of our accounts receivable at any given time. Our key clients vary over time. We extend credit to various companies in the oil and natural gas industry, including our key clients, for the acquisition of seismic data, which results in a concentration of credit risk. This concentration of credit risk may be affected by changes in the economic or other conditions of our key clients and may accordingly impact our overall credit risk. If any of these significant clients were to terminate their contracts or fail to contract for our services in the future because they are acquired, alter their exploration or development strategy, or for any other reason, our results of operations could be affected. Because of the nature of our contracts and clients’ projects, our largest clients can change from year to year, and the largest clients in any year may not be indicative of the largest clients in any subsequent year. During the twelve months ended December 31, 2025, our largest client accounted for approximately 51% of revenue. The remaining balance of our revenue derived from varied clients and none represented more than 10%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have cash in the bank which exceeds federally insured limits. Historically, we have not experienced any losses in such accounts; however, volatility in financial markets may impact our credit risk on cash and short-term investments. At December 31, 2025, cash totaled $4.9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further information, see “Item 7. Management’s Discussion and Analysis of Financial Condition and Results of Operations” and “Item 1A. Risk Factors.”</w:t>
      </w:r>
    </w:p>
    <w:p>
      <w:pPr>
        <w:pStyle w:val="TextBody"/>
        <w:bidi w:val="0"/>
        <w:spacing w:before="0" w:after="240"/>
        <w:ind w:left="0" w:right="0" w:hanging="0"/>
        <w:jc w:val="both"/>
        <w:rPr>
          <w:rFonts w:ascii="Times New Roman;Times;serif" w:hAnsi="Times New Roman;Times;serif"/>
          <w:sz w:val="20"/>
        </w:rPr>
      </w:pPr>
      <w:bookmarkStart w:id="49" w:name="Item8FINANCIALSTATEMENTS_39780"/>
      <w:bookmarkStart w:id="50" w:name="_102533a1_f5ac_477a_8ac5_df85e74dc45e"/>
      <w:bookmarkEnd w:id="49"/>
      <w:bookmarkEnd w:id="50"/>
      <w:r>
        <w:rPr>
          <w:rFonts w:ascii="Times New Roman;Times;serif" w:hAnsi="Times New Roman;Times;serif"/>
          <w:b/>
          <w:sz w:val="20"/>
        </w:rPr>
        <w:t>Item 8.  </w:t>
      </w:r>
      <w:r>
        <w:rPr>
          <w:rFonts w:ascii="Times New Roman;Times;serif" w:hAnsi="Times New Roman;Times;serif"/>
          <w:b/>
          <w:i/>
          <w:sz w:val="20"/>
        </w:rPr>
        <w:t>FINANCIAL STATEMENTS AND SUPPLEMENTARY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appears on pages F-1 through F-25 hereof and is incorporated herein by reference.</w:t>
      </w:r>
    </w:p>
    <w:p>
      <w:pPr>
        <w:pStyle w:val="TextBody"/>
        <w:pBdr/>
        <w:bidi w:val="0"/>
        <w:spacing w:before="0" w:after="240"/>
        <w:ind w:left="0" w:right="0" w:hanging="864"/>
        <w:jc w:val="left"/>
        <w:rPr>
          <w:rFonts w:ascii="Times New Roman;Times;serif" w:hAnsi="Times New Roman;Times;serif"/>
          <w:sz w:val="20"/>
        </w:rPr>
      </w:pPr>
      <w:bookmarkStart w:id="51" w:name="Item9CHANGESIN_623559"/>
      <w:bookmarkStart w:id="52" w:name="_25029830_662f_44c3_b278_065efdf9f569"/>
      <w:bookmarkEnd w:id="51"/>
      <w:bookmarkEnd w:id="52"/>
      <w:r>
        <w:rPr>
          <w:rFonts w:ascii="Times New Roman;Times;serif" w:hAnsi="Times New Roman;Times;serif"/>
          <w:b/>
          <w:sz w:val="20"/>
        </w:rPr>
        <w:t xml:space="preserve">Item 9. </w:t>
      </w:r>
      <w:r>
        <w:rPr>
          <w:rFonts w:ascii="Times New Roman;Times;serif" w:hAnsi="Times New Roman;Times;serif"/>
          <w:b/>
          <w:i/>
          <w:sz w:val="20"/>
        </w:rPr>
        <w:t>CHANGES IN AND DISAGREEMENTS WITH ACCOUNTANTS ON ACCOUNTING AND FINANCIAL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sz w:val="20"/>
        </w:rPr>
      </w:pPr>
      <w:bookmarkStart w:id="53" w:name="Item9ACONTROLSANDPROCEDURES_987135"/>
      <w:bookmarkStart w:id="54" w:name="_a77c1631_dba5_4a0d_bb23_10b501de78cb"/>
      <w:bookmarkEnd w:id="53"/>
      <w:bookmarkEnd w:id="54"/>
      <w:r>
        <w:rPr>
          <w:rFonts w:ascii="Times New Roman;Times;serif" w:hAnsi="Times New Roman;Times;serif"/>
          <w:b/>
          <w:sz w:val="20"/>
        </w:rPr>
        <w:t>Item 9A.  </w:t>
      </w:r>
      <w:r>
        <w:rPr>
          <w:rFonts w:ascii="Times New Roman;Times;serif" w:hAnsi="Times New Roman;Times;serif"/>
          <w:b/>
          <w:i/>
          <w:sz w:val="20"/>
        </w:rPr>
        <w:t>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principal executive, financial and accounting officers, of the effectiveness of our disclosure controls and procedures pursuant to Rule 13a-15(e) and 15d-15(e) under the Exchange Act as of the end of the period covered by this report. Based upon that evaluation, our President and Chief Executive Officer, and our Chief Financial Officer concluded that, as of December 31, 2025, our disclosure controls and procedures were effective with regard to the recording, processing, summarizing and reporting, within the time periods specified in the SEC’s rules and forms, for information required to be disclosed by us in the reports that we file or submit under the Exchange Act. Notwithstanding the material weakness in internal control over financial reporting described below, management concluded that the Company’s disclosure controls and procedures were effective because the Company separately maintained effective controls and procedures to ensure that information required to be disclosed was accumulated and communicated to management in a timely manner to allow for appropriate disclosure decisions. Our disclosure controls and procedures include controls and procedures designed to ensure that information required to be disclosed in reports filed or submitted under the Exchange Act is accumulated and communicated to our management, including our President and Chief Executive Officer, and our Chief Financial Officer, as appropriate, to allow timely decisions regarding required disclosure.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management, including our President and Chief Executive Officer, and our Chief Financial Officer, we evaluated the effectiveness of our internal controls over financial reporting as of December 31, 2025 using the criteria set forth in </w:t>
      </w:r>
      <w:r>
        <w:rPr>
          <w:rFonts w:ascii="Times New Roman;Times;serif" w:hAnsi="Times New Roman;Times;serif"/>
          <w:i/>
          <w:sz w:val="20"/>
        </w:rPr>
        <w:t>Internal Control — Integrated Framework</w:t>
      </w:r>
      <w:r>
        <w:rPr>
          <w:rFonts w:ascii="Times New Roman;Times;serif" w:hAnsi="Times New Roman;Times;serif"/>
          <w:sz w:val="20"/>
        </w:rPr>
        <w:t xml:space="preserve"> issued by the Committee of Sponsoring Organizations of the Treadway Commission (2013 framework). Based on this evaluation, we have concluded that, as of December 31, 2025, our internal control over financial reporting was not effective due to the material weakness in our internal control over financial reporting described below. As a non-accelerated filer, as defined in Rule 12b-2 under the Exchange Act, our independent registered public accounting firm is not required under Section 404(b) of the Sarbanes-Oxley Act to issue an attestation report on our internal control over financial reporting.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Weakness in Internal Control Over Financial Reporting</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identified a material weakness in our internal control over financial reporting as of December 31, 2025. Specifically, the Company did not design and maintain effective controls to ensure the accurate classification of revenue between Fee Revenue and Reimbursable Revenue, and classification of expenses between Fee Operating Expenses and Reimbursable Operating Expenses within the consolidated statement of operations and comprehensive loss. Specifically, a material error in classification was identified that our internal control over financial reporting failed to prevent or detect. While the total amount of operating revenues and operating expenses recognized for the periods presented were not materially misstated, the misclassification resulted in a material error in fee revenue, reimbursable revenue, fee operating expenses, and reimbursable operating expenses in the Company’s consolidated statement of operations and comprehensive loss. No other financial statement line items were affected by this error. The misstatements were corrected in the consolidated statement of operations and comprehensive loss presented herein. </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Plan to Remediate the Material Weakness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Management is implementing remediation steps to address the material weakness and to improve internal control over financial reporting. Specifically, management is designing and implementing a review control to perform a look back analysis related to uncompleted customer contracts at the end of the reporting period to ensure the correct classification of revenue earned and expenses incurred in satisfying performance obligations under contracts with customers.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believes these actions, when fully implemented and operating for a sufficient period of time, will remediate the material weakness. However, until the remediation efforts are fully completed and tested, the material weakness will continue to exist. However, our management, including our Chief Executive Officer and Chief Financial Officer, has concluded that, notwithstanding the identified material weakness in our internal control over financial reporting, the financial statements presented herein fairly present, in all material respects, our financial condition, results of operations and cash flows for the periods presented in conformity with U.S. GAAP.</w:t>
      </w:r>
    </w:p>
    <w:p>
      <w:pPr>
        <w:pStyle w:val="TextBody"/>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defined in Rule 13a-15(f) and 15d-15(f) of the Exchange Act) during the quarter ended December 31, 2025 that have materially affected or are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sz w:val="20"/>
        </w:rPr>
      </w:pPr>
      <w:bookmarkStart w:id="55" w:name="Item9BOTHERINFORMATION_781586"/>
      <w:bookmarkStart w:id="56" w:name="_d652ce97_28dd_4b75_8aab_84d1caf77018"/>
      <w:bookmarkEnd w:id="55"/>
      <w:bookmarkEnd w:id="56"/>
      <w:r>
        <w:rPr>
          <w:rFonts w:ascii="Times New Roman;Times;serif" w:hAnsi="Times New Roman;Times;serif"/>
          <w:b/>
          <w:sz w:val="20"/>
        </w:rPr>
        <w:t>Item 9B.  </w:t>
      </w:r>
      <w:r>
        <w:rPr>
          <w:rFonts w:ascii="Times New Roman;Times;serif" w:hAnsi="Times New Roman;Times;serif"/>
          <w:b/>
          <w:i/>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57" w:name="Item9CDISCLOSUREREGARDINGFOREIGNJURISDIC"/>
      <w:bookmarkStart w:id="58" w:name="_195cad9e_d5a9_4fc7_a882_894f4fe6cb2f"/>
      <w:bookmarkEnd w:id="57"/>
      <w:bookmarkEnd w:id="58"/>
      <w:r>
        <w:rPr>
          <w:rFonts w:ascii="Times New Roman;Times;serif" w:hAnsi="Times New Roman;Times;serif"/>
          <w:b/>
          <w:sz w:val="20"/>
        </w:rPr>
        <w:t>Item 9C.  </w:t>
      </w:r>
      <w:r>
        <w:rPr>
          <w:rFonts w:ascii="Times New Roman;Times;serif" w:hAnsi="Times New Roman;Times;serif"/>
          <w:b/>
          <w:i/>
          <w:sz w:val="20"/>
        </w:rPr>
        <w:t>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59" w:name="PartIII_5883"/>
      <w:bookmarkStart w:id="60" w:name="_3cf91fa7_ba30_462e_bae1_55207709a402"/>
      <w:bookmarkEnd w:id="59"/>
      <w:bookmarkEnd w:id="60"/>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sz w:val="20"/>
        </w:rPr>
      </w:pPr>
      <w:bookmarkStart w:id="61" w:name="Item10DIRECTORSEXECUTIVEOFFICERS_410981"/>
      <w:bookmarkEnd w:id="61"/>
      <w:r>
        <w:rPr>
          <w:rFonts w:ascii="Times New Roman;Times;serif" w:hAnsi="Times New Roman;Times;serif"/>
          <w:b/>
          <w:sz w:val="20"/>
        </w:rPr>
        <w:t>Item 10.  </w:t>
      </w:r>
      <w:r>
        <w:rPr>
          <w:rFonts w:ascii="Times New Roman;Times;serif" w:hAnsi="Times New Roman;Times;serif"/>
          <w:b/>
          <w:i/>
          <w:sz w:val="20"/>
        </w:rPr>
        <w:t>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noted below, the information required by Item 10 of Form 10-K is hereby incorporated by reference from the earlier filed of: (i) an amendment to this annual report on Form 10-K or (ii) the Company’s definitive proxy statement which will be filed pursuant to Regulation 14A within 120 days after the Company’s year-end for the year covered by this report. The Company has adopted an insider trading policy, a copy of which is filed as Exhibit 19.1 to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bookmarkStart w:id="62" w:name="Item11EXECUTIVECOMPENSATION_76744"/>
      <w:bookmarkStart w:id="63" w:name="_3c94d915_7033_48a6_8851_c9bbe48bda57"/>
      <w:bookmarkEnd w:id="62"/>
      <w:bookmarkEnd w:id="63"/>
      <w:r>
        <w:rPr>
          <w:rFonts w:ascii="Times New Roman;Times;serif" w:hAnsi="Times New Roman;Times;serif"/>
          <w:b/>
          <w:sz w:val="20"/>
        </w:rPr>
        <w:t>Item 11.  </w:t>
      </w:r>
      <w:r>
        <w:rPr>
          <w:rFonts w:ascii="Times New Roman;Times;serif" w:hAnsi="Times New Roman;Times;serif"/>
          <w:b/>
          <w:i/>
          <w:sz w:val="20"/>
        </w:rPr>
        <w:t>EXECUTIVE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Item 11 of Form 10-K is hereby incorporated by reference from the earlier filed of: (i) an amendment to this annual report on Form 10-K or (ii) the Company’s definitive proxy statement which will be filed pursuant to Regulation 14A within 120 days after the Company’s year-end for the year covered by this report.</w:t>
      </w:r>
    </w:p>
    <w:p>
      <w:pPr>
        <w:pStyle w:val="TextBody"/>
        <w:pBdr/>
        <w:bidi w:val="0"/>
        <w:spacing w:before="0" w:after="240"/>
        <w:ind w:left="0" w:right="0" w:hanging="864"/>
        <w:jc w:val="left"/>
        <w:rPr>
          <w:rFonts w:ascii="Times New Roman;Times;serif" w:hAnsi="Times New Roman;Times;serif"/>
          <w:sz w:val="20"/>
        </w:rPr>
      </w:pPr>
      <w:bookmarkStart w:id="64" w:name="Item12SECURITYOWNERSHIPOFCERTAINBENEFICI"/>
      <w:bookmarkStart w:id="65" w:name="_30503ef6_8892_4234_96eb_a22c3d6885d4"/>
      <w:bookmarkEnd w:id="64"/>
      <w:bookmarkEnd w:id="65"/>
      <w:r>
        <w:rPr>
          <w:rFonts w:ascii="Times New Roman;Times;serif" w:hAnsi="Times New Roman;Times;serif"/>
          <w:b/>
          <w:sz w:val="20"/>
        </w:rPr>
        <w:t xml:space="preserve">Item 12. </w:t>
      </w:r>
      <w:r>
        <w:rPr>
          <w:rFonts w:ascii="Times New Roman;Times;serif" w:hAnsi="Times New Roman;Times;serif"/>
          <w:b/>
          <w:i/>
          <w:sz w:val="20"/>
        </w:rPr>
        <w:t>SECURITY OWNERSHIP OF CERTAIN BENEFICIAL OWNERS AND MANAGEMENT AND RELATED</w:t>
      </w:r>
      <w:r>
        <w:rPr>
          <w:rFonts w:ascii="Times New Roman;Times;serif" w:hAnsi="Times New Roman;Times;serif"/>
          <w:sz w:val="20"/>
        </w:rPr>
        <w:t xml:space="preserve"> </w:t>
      </w:r>
      <w:r>
        <w:rPr>
          <w:rFonts w:ascii="Times New Roman;Times;serif" w:hAnsi="Times New Roman;Times;serif"/>
          <w:b/>
          <w:i/>
          <w:sz w:val="20"/>
        </w:rPr>
        <w:t>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with respect to our equity compensation plans is set forth in Item 5 of this Form 10-K. Other information required by Item 12 of Form 10-K is hereby incorporated by reference from the earlier filed of: (i) an amendment to this annual report on Form 10-K or (ii) the Company’s definitive proxy statement which will be filed pursuant to Regulation 14A within 120 days after the Company’s year-end for the year covered by this report.</w:t>
      </w:r>
    </w:p>
    <w:p>
      <w:pPr>
        <w:pStyle w:val="TextBody"/>
        <w:bidi w:val="0"/>
        <w:spacing w:before="0" w:after="240"/>
        <w:ind w:left="0" w:right="0" w:hanging="0"/>
        <w:jc w:val="both"/>
        <w:rPr>
          <w:rFonts w:ascii="Times New Roman;Times;serif" w:hAnsi="Times New Roman;Times;serif"/>
          <w:sz w:val="20"/>
        </w:rPr>
      </w:pPr>
      <w:bookmarkStart w:id="66" w:name="Item13CERTAINRELATIONSHIPS_397008"/>
      <w:bookmarkStart w:id="67" w:name="_c64c1655_46ed_4166_a604_afec044727de"/>
      <w:bookmarkEnd w:id="66"/>
      <w:bookmarkEnd w:id="67"/>
      <w:r>
        <w:rPr>
          <w:rFonts w:ascii="Times New Roman;Times;serif" w:hAnsi="Times New Roman;Times;serif"/>
          <w:b/>
          <w:sz w:val="20"/>
        </w:rPr>
        <w:t>Item 13.  </w:t>
      </w:r>
      <w:r>
        <w:rPr>
          <w:rFonts w:ascii="Times New Roman;Times;serif" w:hAnsi="Times New Roman;Times;serif"/>
          <w:b/>
          <w:i/>
          <w:sz w:val="20"/>
        </w:rPr>
        <w:t>CERTAIN RELATIONSHIPS AND RELATED TRANSACTIONS AND DIRECTOR INDEPENDENCE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Item 13 of Form 10-K is hereby incorporated by reference from the earlier filed of: (i) an amendment to this annual report on Form 10-K or (ii) the Company’s definitive proxy statement which will be filed pursuant to Regulation 14A within 120 days after the Company’s year-end for the year covered by this report.</w:t>
      </w:r>
    </w:p>
    <w:p>
      <w:pPr>
        <w:pStyle w:val="TextBody"/>
        <w:bidi w:val="0"/>
        <w:spacing w:before="0" w:after="240"/>
        <w:ind w:left="0" w:right="0" w:hanging="0"/>
        <w:jc w:val="both"/>
        <w:rPr>
          <w:rFonts w:ascii="Times New Roman;Times;serif" w:hAnsi="Times New Roman;Times;serif"/>
          <w:sz w:val="20"/>
        </w:rPr>
      </w:pPr>
      <w:bookmarkStart w:id="68" w:name="Item14PRINCIPALACCOUNTINGFEES_336758"/>
      <w:bookmarkStart w:id="69" w:name="_c07fdbbb_1411_4967_a35a_1f7ed049a730"/>
      <w:bookmarkEnd w:id="68"/>
      <w:bookmarkEnd w:id="69"/>
      <w:r>
        <w:rPr>
          <w:rFonts w:ascii="Times New Roman;Times;serif" w:hAnsi="Times New Roman;Times;serif"/>
          <w:b/>
          <w:sz w:val="20"/>
        </w:rPr>
        <w:t>Item 14.  </w:t>
      </w:r>
      <w:r>
        <w:rPr>
          <w:rFonts w:ascii="Times New Roman;Times;serif" w:hAnsi="Times New Roman;Times;serif"/>
          <w:b/>
          <w:i/>
          <w:sz w:val="20"/>
        </w:rPr>
        <w:t>PRINCIPAL ACCOUNTING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Item 14 of Form 10-K is hereby incorporated by reference from the earlier filed of: (i) an amendment to this annual report on Form 10-K or (ii) the Company’s definitive proxy statement, which will be filed pursuant to Regulation 14A within 120 days after the Company’s year-end for the year covered by this report.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 w:name="PartIV_35743"/>
      <w:bookmarkStart w:id="71" w:name="_44f8c394_5e6d_4f76_8889_72a80c63146c"/>
      <w:bookmarkEnd w:id="70"/>
      <w:bookmarkEnd w:id="71"/>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sz w:val="20"/>
        </w:rPr>
      </w:pPr>
      <w:bookmarkStart w:id="72" w:name="Item15EXHIBITS_30936"/>
      <w:bookmarkEnd w:id="72"/>
      <w:r>
        <w:rPr>
          <w:rFonts w:ascii="Times New Roman;Times;serif" w:hAnsi="Times New Roman;Times;serif"/>
          <w:b/>
          <w:sz w:val="20"/>
        </w:rPr>
        <w:t>Item 15.  </w:t>
      </w:r>
      <w:r>
        <w:rPr>
          <w:rFonts w:ascii="Times New Roman;Times;serif" w:hAnsi="Times New Roman;Times;serif"/>
          <w:b/>
          <w:i/>
          <w:sz w:val="20"/>
        </w:rPr>
        <w:t>EXHIBITS AND FINANCIAL STATEMENT SCHEDULES</w:t>
      </w:r>
    </w:p>
    <w:tbl>
      <w:tblPr>
        <w:tblW w:w="4982" w:type="dxa"/>
        <w:jc w:val="left"/>
        <w:tblInd w:w="0" w:type="dxa"/>
        <w:tblLayout w:type="fixed"/>
        <w:tblCellMar>
          <w:top w:w="0" w:type="dxa"/>
          <w:left w:w="0" w:type="dxa"/>
          <w:bottom w:w="0" w:type="dxa"/>
          <w:right w:w="0" w:type="dxa"/>
        </w:tblCellMar>
      </w:tblPr>
      <w:tblGrid>
        <w:gridCol w:w="331"/>
        <w:gridCol w:w="4651"/>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6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documents are filed as part of this report:</w:t>
            </w:r>
          </w:p>
        </w:tc>
      </w:tr>
    </w:tbl>
    <w:tbl>
      <w:tblPr>
        <w:tblW w:w="2391" w:type="dxa"/>
        <w:jc w:val="left"/>
        <w:tblInd w:w="0" w:type="dxa"/>
        <w:tblLayout w:type="fixed"/>
        <w:tblCellMar>
          <w:top w:w="0" w:type="dxa"/>
          <w:left w:w="0" w:type="dxa"/>
          <w:bottom w:w="0" w:type="dxa"/>
          <w:right w:w="0" w:type="dxa"/>
        </w:tblCellMar>
      </w:tblPr>
      <w:tblGrid>
        <w:gridCol w:w="124"/>
        <w:gridCol w:w="331"/>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936"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Financial Statements.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consolidated financial statements of the Company appear on pages F-1 through F-26 and are incorporated by reference into Part II, Item 8:</w:t>
      </w:r>
    </w:p>
    <w:p>
      <w:pPr>
        <w:pStyle w:val="TextBody"/>
        <w:bidi w:val="0"/>
        <w:spacing w:before="0" w:after="0"/>
        <w:ind w:left="1440" w:right="0" w:hanging="0"/>
        <w:jc w:val="left"/>
        <w:rPr/>
      </w:pPr>
      <w:hyperlink w:anchor="Report">
        <w:r>
          <w:rPr>
            <w:rStyle w:val="InternetLink"/>
            <w:rFonts w:ascii="Times New Roman;Times;serif" w:hAnsi="Times New Roman;Times;serif"/>
            <w:b w:val="false"/>
            <w:i w:val="false"/>
            <w:caps w:val="false"/>
            <w:smallCaps w:val="false"/>
            <w:sz w:val="20"/>
          </w:rPr>
          <w:t>Report of Independent Registered Public Accounting Firm</w:t>
        </w:r>
      </w:hyperlink>
    </w:p>
    <w:p>
      <w:pPr>
        <w:pStyle w:val="TextBody"/>
        <w:bidi w:val="0"/>
        <w:spacing w:before="0" w:after="0"/>
        <w:ind w:left="1440" w:right="0" w:hanging="0"/>
        <w:jc w:val="left"/>
        <w:rPr/>
      </w:pPr>
      <w:hyperlink w:anchor="CONSOLIDATEDBALANCESHEETS_55948">
        <w:r>
          <w:rPr>
            <w:rStyle w:val="InternetLink"/>
            <w:rFonts w:ascii="Times New Roman;Times;serif" w:hAnsi="Times New Roman;Times;serif"/>
            <w:b w:val="false"/>
            <w:i w:val="false"/>
            <w:caps w:val="false"/>
            <w:smallCaps w:val="false"/>
            <w:sz w:val="20"/>
          </w:rPr>
          <w:t>Consolidated Balance Sheets</w:t>
        </w:r>
      </w:hyperlink>
    </w:p>
    <w:p>
      <w:pPr>
        <w:pStyle w:val="TextBody"/>
        <w:bidi w:val="0"/>
        <w:spacing w:before="0" w:after="0"/>
        <w:ind w:left="1440" w:right="0" w:hanging="0"/>
        <w:jc w:val="left"/>
        <w:rPr/>
      </w:pPr>
      <w:hyperlink w:anchor="COMPREHENSIVELOSSINCOME_515700">
        <w:r>
          <w:rPr>
            <w:rStyle w:val="InternetLink"/>
            <w:rFonts w:ascii="Times New Roman;Times;serif" w:hAnsi="Times New Roman;Times;serif"/>
            <w:b w:val="false"/>
            <w:i w:val="false"/>
            <w:caps w:val="false"/>
            <w:smallCaps w:val="false"/>
            <w:sz w:val="20"/>
          </w:rPr>
          <w:t>Consolidated Statements of Operations and Comprehensive Loss</w:t>
        </w:r>
      </w:hyperlink>
    </w:p>
    <w:p>
      <w:pPr>
        <w:pStyle w:val="TextBody"/>
        <w:bidi w:val="0"/>
        <w:spacing w:before="0" w:after="0"/>
        <w:ind w:left="1440" w:right="0" w:hanging="0"/>
        <w:jc w:val="left"/>
        <w:rPr/>
      </w:pPr>
      <w:hyperlink w:anchor="STOCKHOLDERSEQUITY_211555">
        <w:r>
          <w:rPr>
            <w:rStyle w:val="InternetLink"/>
            <w:rFonts w:ascii="Times New Roman;Times;serif" w:hAnsi="Times New Roman;Times;serif"/>
            <w:sz w:val="20"/>
          </w:rPr>
          <w:t>Consolidated Statements of Stockholders’ Equity</w:t>
        </w:r>
      </w:hyperlink>
    </w:p>
    <w:p>
      <w:pPr>
        <w:pStyle w:val="TextBody"/>
        <w:bidi w:val="0"/>
        <w:spacing w:before="0" w:after="0"/>
        <w:ind w:left="1440" w:right="0" w:hanging="0"/>
        <w:jc w:val="left"/>
        <w:rPr/>
      </w:pPr>
      <w:hyperlink w:anchor="STATEMENTSOFCASHFLOWS_755369">
        <w:r>
          <w:rPr>
            <w:rStyle w:val="InternetLink"/>
            <w:rFonts w:ascii="Times New Roman;Times;serif" w:hAnsi="Times New Roman;Times;serif"/>
            <w:b w:val="false"/>
            <w:i w:val="false"/>
            <w:caps w:val="false"/>
            <w:smallCaps w:val="false"/>
            <w:sz w:val="20"/>
          </w:rPr>
          <w:t>Consolidated Statements of Cash Flows</w:t>
        </w:r>
      </w:hyperlink>
    </w:p>
    <w:p>
      <w:pPr>
        <w:pStyle w:val="TextBody"/>
        <w:bidi w:val="0"/>
        <w:spacing w:before="0" w:after="240"/>
        <w:ind w:left="1440" w:right="0" w:hanging="0"/>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bl>
      <w:tblPr>
        <w:tblW w:w="3186" w:type="dxa"/>
        <w:jc w:val="left"/>
        <w:tblInd w:w="0" w:type="dxa"/>
        <w:tblLayout w:type="fixed"/>
        <w:tblCellMar>
          <w:top w:w="0" w:type="dxa"/>
          <w:left w:w="0" w:type="dxa"/>
          <w:bottom w:w="0" w:type="dxa"/>
          <w:right w:w="0" w:type="dxa"/>
        </w:tblCellMar>
      </w:tblPr>
      <w:tblGrid>
        <w:gridCol w:w="124"/>
        <w:gridCol w:w="331"/>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731"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Financial Statement Schedules.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All schedules are omitted because they are either not applicable or the required information is shown in the financial statements or notes thereto.</w:t>
      </w:r>
    </w:p>
    <w:tbl>
      <w:tblPr>
        <w:tblW w:w="1326" w:type="dxa"/>
        <w:jc w:val="left"/>
        <w:tblInd w:w="0" w:type="dxa"/>
        <w:tblLayout w:type="fixed"/>
        <w:tblCellMar>
          <w:top w:w="0" w:type="dxa"/>
          <w:left w:w="0" w:type="dxa"/>
          <w:bottom w:w="0" w:type="dxa"/>
          <w:right w:w="0" w:type="dxa"/>
        </w:tblCellMar>
      </w:tblPr>
      <w:tblGrid>
        <w:gridCol w:w="124"/>
        <w:gridCol w:w="331"/>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871"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Exhibits.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information required by this item 15(a)(3) is set forth in the Index to Exhibits accompanying this Annual Report on Form 10-K and is hereby incorporated by reference.</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73" w:name="INDEXTOEXHIBITS_809701"/>
      <w:bookmarkStart w:id="74" w:name="_d47ab64c_bb29_408b_9d1a_dc9e18e49007"/>
      <w:bookmarkEnd w:id="73"/>
      <w:bookmarkEnd w:id="74"/>
      <w:r>
        <w:rPr>
          <w:rFonts w:ascii="Times New Roman;Times;serif" w:hAnsi="Times New Roman;Times;serif"/>
          <w:b/>
          <w:sz w:val="20"/>
        </w:rPr>
        <w:t>INDEX TO</w:t>
      </w:r>
      <w:r>
        <w:rPr>
          <w:rFonts w:ascii="Times New Roman;Times;serif" w:hAnsi="Times New Roman;Times;serif"/>
          <w:sz w:val="20"/>
        </w:rPr>
        <w:t xml:space="preserve"> </w:t>
      </w:r>
      <w:r>
        <w:rPr>
          <w:rFonts w:ascii="Times New Roman;Times;serif" w:hAnsi="Times New Roman;Times;serif"/>
          <w:b/>
          <w:sz w:val="20"/>
        </w:rPr>
        <w:t>EXHIBITS</w:t>
      </w:r>
    </w:p>
    <w:tbl>
      <w:tblPr>
        <w:tblW w:w="10205" w:type="dxa"/>
        <w:jc w:val="left"/>
        <w:tblInd w:w="0" w:type="dxa"/>
        <w:tblLayout w:type="fixed"/>
        <w:tblCellMar>
          <w:top w:w="0" w:type="dxa"/>
          <w:left w:w="0" w:type="dxa"/>
          <w:bottom w:w="28" w:type="dxa"/>
          <w:right w:w="0" w:type="dxa"/>
        </w:tblCellMar>
      </w:tblPr>
      <w:tblGrid>
        <w:gridCol w:w="928"/>
        <w:gridCol w:w="346"/>
        <w:gridCol w:w="8931"/>
      </w:tblGrid>
      <w:tr>
        <w:trPr/>
        <w:tc>
          <w:tcPr>
            <w:tcW w:w="92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893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28" w:type="dxa"/>
            <w:tcBorders/>
            <w:tcMar>
              <w:bottom w:w="0" w:type="dxa"/>
            </w:tcMar>
            <w:vAlign w:val="center"/>
          </w:tcPr>
          <w:p>
            <w:pPr>
              <w:pStyle w:val="TableHeading"/>
              <w:pBdr/>
              <w:bidi w:val="0"/>
              <w:spacing w:lineRule="auto" w:line="314" w:before="0" w:after="0"/>
              <w:ind w:left="0" w:right="0" w:hanging="0"/>
              <w:jc w:val="right"/>
              <w:rPr/>
            </w:pPr>
            <w:r>
              <w:rPr/>
              <w:t>​</w:t>
            </w:r>
          </w:p>
        </w:tc>
        <w:tc>
          <w:tcPr>
            <w:tcW w:w="346" w:type="dxa"/>
            <w:tcBorders/>
            <w:tcMar>
              <w:bottom w:w="0" w:type="dxa"/>
            </w:tcMar>
            <w:vAlign w:val="center"/>
          </w:tcPr>
          <w:p>
            <w:pPr>
              <w:pStyle w:val="TableHeading"/>
              <w:bidi w:val="0"/>
              <w:spacing w:lineRule="auto" w:line="314" w:before="0" w:after="0"/>
              <w:ind w:left="0" w:right="0" w:hanging="0"/>
              <w:jc w:val="both"/>
              <w:rPr/>
            </w:pPr>
            <w:r>
              <w:rPr/>
              <w:t>​</w:t>
            </w:r>
          </w:p>
        </w:tc>
        <w:tc>
          <w:tcPr>
            <w:tcW w:w="8931" w:type="dxa"/>
            <w:tcBorders/>
            <w:tcMar>
              <w:bottom w:w="0" w:type="dxa"/>
            </w:tcMar>
            <w:vAlign w:val="center"/>
          </w:tcPr>
          <w:p>
            <w:pPr>
              <w:pStyle w:val="TableHeading"/>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October 25, 2021, by and between the Company, Wilks Brothers, LLC and WB Acquisitions Inc., filed as Exhibit 2.1 to the Company’s Current Report on Form 8-K, filed on October 25, 2021,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Amendment No. 1 to Agreement and Plan of Merger, dated December 14, 2021, by and between the Company, Wilks Brothers, LLC and WB Acquisitions Inc., filed as Exhibit 2.1 to the Company’s Current Report on Form 8-K, filed on December 17, 2021,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4">
              <w:r>
                <w:rPr>
                  <w:rStyle w:val="InternetLink"/>
                  <w:rFonts w:ascii="Times New Roman;Times;serif" w:hAnsi="Times New Roman;Times;serif"/>
                  <w:b w:val="false"/>
                  <w:i w:val="false"/>
                  <w:caps w:val="false"/>
                  <w:smallCaps w:val="false"/>
                  <w:sz w:val="20"/>
                </w:rPr>
                <w:t>Amendment No. 2 to Agreement and Plan of Merger, dated January 4, 2022, by and between the Company, Wilks Brothers, LLC and WB Acquisitions Inc., filed as Exhibit 2.1 to the Company’s Current Report on Form 8-K, filed on January 5, 2022,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5">
              <w:r>
                <w:rPr>
                  <w:rStyle w:val="InternetLink"/>
                  <w:rFonts w:ascii="Times New Roman;Times;serif" w:hAnsi="Times New Roman;Times;serif"/>
                  <w:b w:val="false"/>
                  <w:i w:val="false"/>
                  <w:caps w:val="false"/>
                  <w:smallCaps w:val="false"/>
                  <w:sz w:val="20"/>
                </w:rPr>
                <w:t>Amendment No. 3 to Agreement and Plan of Merger, dated January 10, 2022, by and between the Company, Wilks Brothers, LLC and WB Acquisitions Inc., filed as Exhibit 2.1 to the Company’s Current Report on Form 8-K, filed on January 10, 2022,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6">
              <w:r>
                <w:rPr>
                  <w:rStyle w:val="InternetLink"/>
                  <w:rFonts w:ascii="Times New Roman;Times;serif" w:hAnsi="Times New Roman;Times;serif"/>
                  <w:b w:val="false"/>
                  <w:i w:val="false"/>
                  <w:caps w:val="false"/>
                  <w:smallCaps w:val="false"/>
                  <w:sz w:val="20"/>
                </w:rPr>
                <w:t>Asset Purchase Agreement, dated March 24, 2023, by and among the Company, Wilks Brothers, LLC and Breckenridge Geophysical, LLC, filed as Exhibit 2.1 to the Company’s Current Report on Form 8-K, filed on March 24, 2023,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7">
              <w:r>
                <w:rPr>
                  <w:rStyle w:val="InternetLink"/>
                  <w:rFonts w:ascii="Times New Roman;Times;serif" w:hAnsi="Times New Roman;Times;serif"/>
                  <w:b w:val="false"/>
                  <w:i w:val="false"/>
                  <w:caps w:val="false"/>
                  <w:smallCaps w:val="false"/>
                  <w:sz w:val="20"/>
                </w:rPr>
                <w:t>Amended and Restated Certificate of Formation, dated February 9, 2015, filed as Exhibit 3.1 to the Company’s Annual Report on Form 10-K, filed on March 16, 2015,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to Amended and Restated Certificate of Formation, dated February 11, 2015, filed as Exhibit 3.1 to the Company’s Annual Report on Form 10-K, filed on March 16, 2015,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Formation, dated December 1, 2023, filed as Exhibit 3.1 to the Company’s Current Report on Form 8-K, filed on December 1, 2023,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10">
              <w:r>
                <w:rPr>
                  <w:rStyle w:val="InternetLink"/>
                  <w:rFonts w:ascii="Times New Roman;Times;serif" w:hAnsi="Times New Roman;Times;serif"/>
                  <w:b w:val="false"/>
                  <w:i w:val="false"/>
                  <w:caps w:val="false"/>
                  <w:smallCaps w:val="false"/>
                  <w:sz w:val="20"/>
                </w:rPr>
                <w:t>Second Amended and Restated Bylaws, dated December 1, 2023, filed as Exhibit 3.2 to the Company’s Current Report on Form 8-K, filed on December 1, 2023,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11">
              <w:r>
                <w:rPr>
                  <w:rStyle w:val="InternetLink"/>
                  <w:rFonts w:ascii="Times New Roman;Times;serif" w:hAnsi="Times New Roman;Times;serif"/>
                  <w:b w:val="false"/>
                  <w:i w:val="false"/>
                  <w:caps w:val="false"/>
                  <w:smallCaps w:val="false"/>
                  <w:sz w:val="20"/>
                </w:rPr>
                <w:t>Statement of Resolutions Establishing Series of Shares designated Series A Junior Participating Preferred Stock of the Company, filed as Exhibit 3.1 to the Company’s Current Report on Form 8-K, filed April 8, 2021,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Specimen Stock Certificate, filed as Exhibit 4.1 to the Company’s</w:t>
              </w:r>
            </w:hyperlink>
            <w:hyperlink r:id="rId13">
              <w:r>
                <w:rPr>
                  <w:rStyle w:val="InternetLink"/>
                  <w:rFonts w:ascii="Times New Roman;Times;serif" w:hAnsi="Times New Roman;Times;serif"/>
                  <w:caps w:val="false"/>
                  <w:smallCaps w:val="false"/>
                  <w:sz w:val="20"/>
                </w:rPr>
                <w:t xml:space="preserve"> </w:t>
              </w:r>
            </w:hyperlink>
            <w:hyperlink r:id="rId14">
              <w:r>
                <w:rPr>
                  <w:rStyle w:val="InternetLink"/>
                  <w:rFonts w:ascii="Times New Roman;Times;serif" w:hAnsi="Times New Roman;Times;serif"/>
                  <w:b w:val="false"/>
                  <w:i w:val="false"/>
                  <w:caps w:val="false"/>
                  <w:smallCaps w:val="false"/>
                  <w:sz w:val="20"/>
                </w:rPr>
                <w:t>Current Report on Form 8-K, filed on February 11, 2015,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w:anchor="dwsn-20251231xex4d2.htm">
              <w:r>
                <w:rPr>
                  <w:rStyle w:val="InternetLink"/>
                  <w:rFonts w:ascii="Times New Roman;Times;serif" w:hAnsi="Times New Roman;Times;serif"/>
                  <w:b w:val="false"/>
                  <w:i w:val="false"/>
                  <w:caps w:val="false"/>
                  <w:smallCaps w:val="false"/>
                  <w:sz w:val="20"/>
                </w:rPr>
                <w:t>Description of Securities.</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hyperlink r:id="rId15">
              <w:r>
                <w:rPr>
                  <w:rStyle w:val="InternetLink"/>
                  <w:rFonts w:ascii="Times New Roman;Times;serif" w:hAnsi="Times New Roman;Times;serif"/>
                  <w:b w:val="false"/>
                  <w:i w:val="false"/>
                  <w:caps w:val="false"/>
                  <w:smallCaps w:val="false"/>
                  <w:sz w:val="20"/>
                </w:rPr>
                <w:t>Rights Agreement, dated as of April 8, 2021 between the Company</w:t>
              </w:r>
            </w:hyperlink>
            <w:hyperlink r:id="rId16">
              <w:r>
                <w:rPr>
                  <w:rStyle w:val="InternetLink"/>
                  <w:rFonts w:ascii="Times New Roman;Times;serif" w:hAnsi="Times New Roman;Times;serif"/>
                  <w:caps w:val="false"/>
                  <w:smallCaps w:val="false"/>
                  <w:sz w:val="20"/>
                </w:rPr>
                <w:t xml:space="preserve"> </w:t>
              </w:r>
            </w:hyperlink>
            <w:hyperlink r:id="rId17">
              <w:r>
                <w:rPr>
                  <w:rStyle w:val="InternetLink"/>
                  <w:rFonts w:ascii="Times New Roman;Times;serif" w:hAnsi="Times New Roman;Times;serif"/>
                  <w:b w:val="false"/>
                  <w:i w:val="false"/>
                  <w:caps w:val="false"/>
                  <w:smallCaps w:val="false"/>
                  <w:sz w:val="20"/>
                </w:rPr>
                <w:t>and American Stock Transfer &amp; Trust Company, LLC, as Rights Agent, filed as Exhibit 4.1 to the Company’s Current Report on Form 8-K, filed April 8, 2021, and incorporated herein by reference.</w:t>
              </w:r>
            </w:hyperlink>
          </w:p>
        </w:tc>
      </w:tr>
      <w:tr>
        <w:trPr/>
        <w:tc>
          <w:tcPr>
            <w:tcW w:w="92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1" w:type="dxa"/>
            <w:tcBorders/>
            <w:tcMar>
              <w:bottom w:w="0" w:type="dxa"/>
            </w:tcMar>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923"/>
        <w:gridCol w:w="346"/>
        <w:gridCol w:w="8936"/>
      </w:tblGrid>
      <w:tr>
        <w:trPr/>
        <w:tc>
          <w:tcPr>
            <w:tcW w:w="923"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893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23" w:type="dxa"/>
            <w:tcBorders/>
            <w:tcMar>
              <w:bottom w:w="0" w:type="dxa"/>
            </w:tcMar>
            <w:vAlign w:val="center"/>
          </w:tcPr>
          <w:p>
            <w:pPr>
              <w:pStyle w:val="TableHeading"/>
              <w:pBdr/>
              <w:bidi w:val="0"/>
              <w:spacing w:lineRule="auto" w:line="314" w:before="0" w:after="0"/>
              <w:ind w:left="0" w:right="0" w:hanging="0"/>
              <w:jc w:val="right"/>
              <w:rPr/>
            </w:pPr>
            <w:r>
              <w:rPr/>
              <w:t>​</w:t>
            </w:r>
          </w:p>
        </w:tc>
        <w:tc>
          <w:tcPr>
            <w:tcW w:w="346" w:type="dxa"/>
            <w:tcBorders/>
            <w:tcMar>
              <w:bottom w:w="0" w:type="dxa"/>
            </w:tcMar>
            <w:vAlign w:val="center"/>
          </w:tcPr>
          <w:p>
            <w:pPr>
              <w:pStyle w:val="TableHeading"/>
              <w:bidi w:val="0"/>
              <w:spacing w:lineRule="auto" w:line="314" w:before="0" w:after="0"/>
              <w:ind w:left="0" w:right="0" w:hanging="0"/>
              <w:jc w:val="both"/>
              <w:rPr/>
            </w:pPr>
            <w:r>
              <w:rPr/>
              <w:t>​</w:t>
            </w:r>
          </w:p>
        </w:tc>
        <w:tc>
          <w:tcPr>
            <w:tcW w:w="8936" w:type="dxa"/>
            <w:tcBorders/>
            <w:tcMar>
              <w:bottom w:w="0" w:type="dxa"/>
            </w:tcMar>
            <w:vAlign w:val="center"/>
          </w:tcPr>
          <w:p>
            <w:pPr>
              <w:pStyle w:val="TableHeading"/>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18">
              <w:r>
                <w:rPr>
                  <w:rStyle w:val="InternetLink"/>
                  <w:rFonts w:ascii="Times New Roman;Times;serif" w:hAnsi="Times New Roman;Times;serif"/>
                  <w:b w:val="false"/>
                  <w:i w:val="false"/>
                  <w:caps w:val="false"/>
                  <w:smallCaps w:val="false"/>
                  <w:sz w:val="20"/>
                </w:rPr>
                <w:t>Amendment to Rights Agreement, dated October 25, 2021, between the Company and American Stock Transfer &amp; Trust Company, LLC, filed as Exhibit 4.1 to the Company’s Current Report on Form 8-K, filed on October 25, 2021,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19">
              <w:r>
                <w:rPr>
                  <w:rStyle w:val="InternetLink"/>
                  <w:rFonts w:ascii="Times New Roman;Times;serif" w:hAnsi="Times New Roman;Times;serif"/>
                  <w:b w:val="false"/>
                  <w:i w:val="false"/>
                  <w:caps w:val="false"/>
                  <w:smallCaps w:val="false"/>
                  <w:sz w:val="20"/>
                </w:rPr>
                <w:t>The Executive Nonqualified “Excess” Plan Adoption Agreement, filed as Exhibit 10.1 to the Company’s Current Report on Form 8-K, filed on January 8, 2013,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left"/>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0">
              <w:r>
                <w:rPr>
                  <w:rStyle w:val="InternetLink"/>
                  <w:rFonts w:ascii="Times New Roman;Times;serif" w:hAnsi="Times New Roman;Times;serif"/>
                  <w:b w:val="false"/>
                  <w:i w:val="false"/>
                  <w:caps w:val="false"/>
                  <w:smallCaps w:val="false"/>
                  <w:sz w:val="20"/>
                </w:rPr>
                <w:t>The Executive Nonqualified Excess Plan Document, filed as Exhibit 10.2 to the Company’s Current Report on Form 8-K, filed on January 8, 2013,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Indemnification Agreement entered with directors and executive officers, filed as Exhibit 10.1 to the Company’s Current Report on Form 8-K, filed on October 9, 2014,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2">
              <w:r>
                <w:rPr>
                  <w:rStyle w:val="InternetLink"/>
                  <w:rFonts w:ascii="Times New Roman;Times;serif" w:hAnsi="Times New Roman;Times;serif"/>
                  <w:b w:val="false"/>
                  <w:i w:val="false"/>
                  <w:caps w:val="false"/>
                  <w:smallCaps w:val="false"/>
                  <w:sz w:val="20"/>
                </w:rPr>
                <w:t>Form of Master Geophysical Data Acquisition Agreement, filed as Exhibit 10.10 to Dawson Operating Company’s (f/k/a Dawson Geophysical Company) Annual Report on Form 10-K, filed on December 5, 2012 (File No. 001-34404),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3">
              <w:r>
                <w:rPr>
                  <w:rStyle w:val="InternetLink"/>
                  <w:rFonts w:ascii="Times New Roman;Times;serif" w:hAnsi="Times New Roman;Times;serif"/>
                  <w:b w:val="false"/>
                  <w:i w:val="false"/>
                  <w:caps w:val="false"/>
                  <w:smallCaps w:val="false"/>
                  <w:sz w:val="20"/>
                </w:rPr>
                <w:t>Form of Supplemental Agreement to Master Geophysical Data Acquisition Agreement, filed as Exhibit 10.11 to Dawson Operating Company’s (f/k/a Dawson Geophysical Company) Annual Report on Form 10-K, filed on December 5, 2012 (File No. 001-34404),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4">
              <w:r>
                <w:rPr>
                  <w:rStyle w:val="InternetLink"/>
                  <w:rFonts w:ascii="Times New Roman;Times;serif" w:hAnsi="Times New Roman;Times;serif"/>
                  <w:b w:val="false"/>
                  <w:i w:val="false"/>
                  <w:caps w:val="false"/>
                  <w:smallCaps w:val="false"/>
                  <w:sz w:val="20"/>
                </w:rPr>
                <w:t>Dawson Geophysical Company 2016 Stock and Performance Incentive Plan, filed as Exhibit 10.2 to the Registrant’s Current Report on Form 8-K, filed on May 5, 2016,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5">
              <w:r>
                <w:rPr>
                  <w:rStyle w:val="InternetLink"/>
                  <w:rFonts w:ascii="Times New Roman;Times;serif" w:hAnsi="Times New Roman;Times;serif"/>
                  <w:b w:val="false"/>
                  <w:i w:val="false"/>
                  <w:caps w:val="false"/>
                  <w:smallCaps w:val="false"/>
                  <w:sz w:val="20"/>
                </w:rPr>
                <w:t>Amended and Restated Dawson Geophysical Company 2016 Stock and Performance Incentive Plan, effective as of April 24, 2020, filed as Exhibit 10.1 to the Company’s Quarterly Report on Form 10-Q, filed on May 14, 2021,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6">
              <w:r>
                <w:rPr>
                  <w:rStyle w:val="InternetLink"/>
                  <w:rFonts w:ascii="Times New Roman;Times;serif" w:hAnsi="Times New Roman;Times;serif"/>
                  <w:b w:val="false"/>
                  <w:i w:val="false"/>
                  <w:caps w:val="false"/>
                  <w:smallCaps w:val="false"/>
                  <w:sz w:val="20"/>
                </w:rPr>
                <w:t>Separation and General Release Agreement, dated November 27, 2023, by and between C. Ray Tobias and the Company, filed as Exhibit 10.1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7">
              <w:r>
                <w:rPr>
                  <w:rStyle w:val="InternetLink"/>
                  <w:rFonts w:ascii="Times New Roman;Times;serif" w:hAnsi="Times New Roman;Times;serif"/>
                  <w:b w:val="false"/>
                  <w:i w:val="false"/>
                  <w:caps w:val="false"/>
                  <w:smallCaps w:val="false"/>
                  <w:sz w:val="20"/>
                </w:rPr>
                <w:t>Separation and General Release Agreement, dated November 28, 2023, by and between Stephen C. Jumper and the Company, filed as Exhibit 10.2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8">
              <w:r>
                <w:rPr>
                  <w:rStyle w:val="InternetLink"/>
                  <w:rFonts w:ascii="Times New Roman;Times;serif" w:hAnsi="Times New Roman;Times;serif"/>
                  <w:b w:val="false"/>
                  <w:i w:val="false"/>
                  <w:caps w:val="false"/>
                  <w:smallCaps w:val="false"/>
                  <w:sz w:val="20"/>
                </w:rPr>
                <w:t>Separation and General Release Agreement, dated November 30, 2023, by and between James Brata and the Company, filed as Exhibit 10.3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29">
              <w:r>
                <w:rPr>
                  <w:rStyle w:val="InternetLink"/>
                  <w:rFonts w:ascii="Times New Roman;Times;serif" w:hAnsi="Times New Roman;Times;serif"/>
                  <w:b w:val="false"/>
                  <w:i w:val="false"/>
                  <w:caps w:val="false"/>
                  <w:smallCaps w:val="false"/>
                  <w:sz w:val="20"/>
                </w:rPr>
                <w:t>Amended and Restated Employment Agreement, dated December 14, 2023, by and between Anthony Clark and the Company, filed as Exhibit 10.1 to the Company’s Current Report on Form 8-K, filed on December 20, 2023,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23"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hyperlink r:id="rId30">
              <w:r>
                <w:rPr>
                  <w:rStyle w:val="InternetLink"/>
                  <w:rFonts w:ascii="Times New Roman;Times;serif" w:hAnsi="Times New Roman;Times;serif"/>
                  <w:b w:val="false"/>
                  <w:i w:val="false"/>
                  <w:caps w:val="false"/>
                  <w:smallCaps w:val="false"/>
                  <w:sz w:val="20"/>
                </w:rPr>
                <w:t>Employment Agreement, dated December 14, 2023, by and between Ray Mays and the Company, filed as Exhibit 10.2 to the Company’s Current Report on Form 8-K, filed on December 20, 2023, and incorporated herein by reference.</w:t>
              </w:r>
            </w:hyperlink>
          </w:p>
        </w:tc>
      </w:tr>
      <w:tr>
        <w:trPr/>
        <w:tc>
          <w:tcPr>
            <w:tcW w:w="923"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936" w:type="dxa"/>
            <w:tcBorders/>
            <w:tcMar>
              <w:bottom w:w="0" w:type="dxa"/>
            </w:tcMar>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998"/>
        <w:gridCol w:w="346"/>
        <w:gridCol w:w="8861"/>
      </w:tblGrid>
      <w:tr>
        <w:trPr/>
        <w:tc>
          <w:tcPr>
            <w:tcW w:w="99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886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98" w:type="dxa"/>
            <w:tcBorders/>
            <w:tcMar>
              <w:bottom w:w="0" w:type="dxa"/>
            </w:tcMar>
            <w:vAlign w:val="center"/>
          </w:tcPr>
          <w:p>
            <w:pPr>
              <w:pStyle w:val="TableHeading"/>
              <w:pBdr/>
              <w:bidi w:val="0"/>
              <w:spacing w:lineRule="auto" w:line="314" w:before="0" w:after="0"/>
              <w:ind w:left="0" w:right="0" w:hanging="0"/>
              <w:jc w:val="right"/>
              <w:rPr/>
            </w:pPr>
            <w:r>
              <w:rPr/>
              <w:t>​</w:t>
            </w:r>
          </w:p>
        </w:tc>
        <w:tc>
          <w:tcPr>
            <w:tcW w:w="346" w:type="dxa"/>
            <w:tcBorders/>
            <w:tcMar>
              <w:bottom w:w="0" w:type="dxa"/>
            </w:tcMar>
            <w:vAlign w:val="center"/>
          </w:tcPr>
          <w:p>
            <w:pPr>
              <w:pStyle w:val="TableHeading"/>
              <w:bidi w:val="0"/>
              <w:spacing w:lineRule="auto" w:line="314" w:before="0" w:after="0"/>
              <w:ind w:left="0" w:right="0" w:hanging="0"/>
              <w:jc w:val="both"/>
              <w:rPr/>
            </w:pPr>
            <w:r>
              <w:rPr/>
              <w:t>​</w:t>
            </w:r>
          </w:p>
        </w:tc>
        <w:tc>
          <w:tcPr>
            <w:tcW w:w="8861" w:type="dxa"/>
            <w:tcBorders/>
            <w:tcMar>
              <w:bottom w:w="0" w:type="dxa"/>
            </w:tcMar>
            <w:vAlign w:val="center"/>
          </w:tcPr>
          <w:p>
            <w:pPr>
              <w:pStyle w:val="TableHeading"/>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1">
              <w:r>
                <w:rPr>
                  <w:rStyle w:val="InternetLink"/>
                  <w:rFonts w:ascii="Times New Roman;Times;serif" w:hAnsi="Times New Roman;Times;serif"/>
                  <w:b w:val="false"/>
                  <w:i w:val="false"/>
                  <w:caps w:val="false"/>
                  <w:smallCaps w:val="false"/>
                  <w:sz w:val="20"/>
                </w:rPr>
                <w:t>Employment Agreement, dated December 14, 2023, by and between Ian Shaw and the Company, filed as Exhibit 10.3 to the Company’s Current Report on Form 8-K, filed on December 20, 2023,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2">
              <w:r>
                <w:rPr>
                  <w:rStyle w:val="InternetLink"/>
                  <w:rFonts w:ascii="Times New Roman;Times;serif" w:hAnsi="Times New Roman;Times;serif"/>
                  <w:b w:val="false"/>
                  <w:i w:val="false"/>
                  <w:caps w:val="false"/>
                  <w:smallCaps w:val="false"/>
                  <w:sz w:val="20"/>
                </w:rPr>
                <w:t>Equipment Purchase Agreement, dates as of August 8, 2025, by and between Dawson Operating LLC and GTC, Inc., filed as Exhibit 10.1 to the Company’s Quarterly Report on Form 10-Q, filed on August 13,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3">
              <w:r>
                <w:rPr>
                  <w:rStyle w:val="InternetLink"/>
                  <w:rFonts w:ascii="Times New Roman;Times;serif" w:hAnsi="Times New Roman;Times;serif"/>
                  <w:b w:val="false"/>
                  <w:i w:val="false"/>
                  <w:caps w:val="false"/>
                  <w:smallCaps w:val="false"/>
                  <w:sz w:val="20"/>
                </w:rPr>
                <w:t>Purchase Money Security Agreement, dated as of August 8, 2025, by and between Dawson Operating LLC and GTC, Inc., filed as Exhibit 10.2 to the Company’s Quarterly report on Form 10-Q, filed on August 13,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4">
              <w:r>
                <w:rPr>
                  <w:rStyle w:val="InternetLink"/>
                  <w:rFonts w:ascii="Times New Roman;Times;serif" w:hAnsi="Times New Roman;Times;serif"/>
                  <w:b w:val="false"/>
                  <w:i w:val="false"/>
                  <w:caps w:val="false"/>
                  <w:smallCaps w:val="false"/>
                  <w:sz w:val="20"/>
                </w:rPr>
                <w:t>Form of Secured Promissory Note among Dawson Operating LLC, Dawson Geophysical Company and GTC, Inc., filed as Exhibit 10.3 to the Company’s Quarterly Report on Form 10-Q, filed on August 13,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5">
              <w:r>
                <w:rPr>
                  <w:rStyle w:val="InternetLink"/>
                  <w:rFonts w:ascii="Times New Roman;Times;serif" w:hAnsi="Times New Roman;Times;serif"/>
                  <w:b w:val="false"/>
                  <w:i w:val="false"/>
                  <w:caps w:val="false"/>
                  <w:smallCaps w:val="false"/>
                  <w:sz w:val="20"/>
                </w:rPr>
                <w:t>Revolving Credit Note dated October 31, 2025, filed as Exhibit 10.1 to the Company’s Current Report on Form 8-K, filed on November 6,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6">
              <w:r>
                <w:rPr>
                  <w:rStyle w:val="InternetLink"/>
                  <w:rFonts w:ascii="Times New Roman;Times;serif" w:hAnsi="Times New Roman;Times;serif"/>
                  <w:b w:val="false"/>
                  <w:i w:val="false"/>
                  <w:caps w:val="false"/>
                  <w:smallCaps w:val="false"/>
                  <w:sz w:val="20"/>
                </w:rPr>
                <w:t>Security Agreement, dated October 31, 2025, filed as Exhibit 10.2 to the Company’s Current Report on Form 8-K, filed on November 6,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7">
              <w:r>
                <w:rPr>
                  <w:rStyle w:val="InternetLink"/>
                  <w:rFonts w:ascii="Times New Roman;Times;serif" w:hAnsi="Times New Roman;Times;serif"/>
                  <w:b w:val="false"/>
                  <w:i w:val="false"/>
                  <w:caps w:val="false"/>
                  <w:smallCaps w:val="false"/>
                  <w:sz w:val="20"/>
                </w:rPr>
                <w:t>Insider Trading Policy, filed as Exhibit 19.1 to the Company’s Annual Report on Form 10-K, filed on April 2,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21d1.htm">
              <w:r>
                <w:rPr>
                  <w:rStyle w:val="InternetLink"/>
                  <w:rFonts w:ascii="Times New Roman;Times;serif" w:hAnsi="Times New Roman;Times;serif"/>
                  <w:b w:val="false"/>
                  <w:i w:val="false"/>
                  <w:caps w:val="false"/>
                  <w:smallCaps w:val="false"/>
                  <w:sz w:val="20"/>
                </w:rPr>
                <w:t>Subsidiaries of the Company.</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23d1.htm">
              <w:r>
                <w:rPr>
                  <w:rStyle w:val="InternetLink"/>
                  <w:rFonts w:ascii="Times New Roman;Times;serif" w:hAnsi="Times New Roman;Times;serif"/>
                  <w:b w:val="false"/>
                  <w:i w:val="false"/>
                  <w:caps w:val="false"/>
                  <w:smallCaps w:val="false"/>
                  <w:sz w:val="20"/>
                </w:rPr>
                <w:t>Consent of RSM US LLP, independent registered public accounting firm.</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31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302 of the Sarbanes-Oxley Act of 2002.</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31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302 of the Sarbanes-Oxley Act of 2002.</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w:anchor="dwsn-202512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hyperlink r:id="rId38">
              <w:r>
                <w:rPr>
                  <w:rStyle w:val="InternetLink"/>
                  <w:rFonts w:ascii="Times New Roman;Times;serif" w:hAnsi="Times New Roman;Times;serif"/>
                  <w:b w:val="false"/>
                  <w:i w:val="false"/>
                  <w:caps w:val="false"/>
                  <w:smallCaps w:val="false"/>
                  <w:sz w:val="20"/>
                </w:rPr>
                <w:t>Policy for the Recovery of Erroneously Awarded Compensation, filed as Exhibit 97.1 to the Company’s Annual Report on Form 10-K, filed on April 2, 2025, and incorporated herein by reference.</w:t>
              </w:r>
            </w:hyperlink>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8"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8861" w:type="dxa"/>
            <w:tcBorders/>
            <w:tcMar>
              <w:bottom w:w="0" w:type="dxa"/>
            </w:tcMar>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48" w:type="dxa"/>
        <w:jc w:val="left"/>
        <w:tblInd w:w="0" w:type="dxa"/>
        <w:tblLayout w:type="fixed"/>
        <w:tblCellMar>
          <w:top w:w="0" w:type="dxa"/>
          <w:left w:w="0" w:type="dxa"/>
          <w:bottom w:w="28" w:type="dxa"/>
          <w:right w:w="0" w:type="dxa"/>
        </w:tblCellMar>
      </w:tblPr>
      <w:tblGrid>
        <w:gridCol w:w="1156"/>
        <w:gridCol w:w="346"/>
        <w:gridCol w:w="6646"/>
      </w:tblGrid>
      <w:tr>
        <w:trPr/>
        <w:tc>
          <w:tcPr>
            <w:tcW w:w="115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664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156" w:type="dxa"/>
            <w:tcBorders/>
            <w:tcMar>
              <w:bottom w:w="0" w:type="dxa"/>
            </w:tcMar>
            <w:vAlign w:val="center"/>
          </w:tcPr>
          <w:p>
            <w:pPr>
              <w:pStyle w:val="TableHeading"/>
              <w:pBdr/>
              <w:bidi w:val="0"/>
              <w:spacing w:lineRule="auto" w:line="314" w:before="0" w:after="0"/>
              <w:ind w:left="0" w:right="0" w:hanging="0"/>
              <w:jc w:val="right"/>
              <w:rPr/>
            </w:pPr>
            <w:r>
              <w:rPr/>
              <w:t>​</w:t>
            </w:r>
          </w:p>
        </w:tc>
        <w:tc>
          <w:tcPr>
            <w:tcW w:w="346" w:type="dxa"/>
            <w:tcBorders/>
            <w:tcMar>
              <w:bottom w:w="0" w:type="dxa"/>
            </w:tcMar>
            <w:vAlign w:val="center"/>
          </w:tcPr>
          <w:p>
            <w:pPr>
              <w:pStyle w:val="TableHeading"/>
              <w:bidi w:val="0"/>
              <w:spacing w:lineRule="auto" w:line="314" w:before="0" w:after="0"/>
              <w:ind w:left="0" w:right="0" w:hanging="0"/>
              <w:jc w:val="both"/>
              <w:rPr/>
            </w:pPr>
            <w:r>
              <w:rPr/>
              <w:t>​</w:t>
            </w:r>
          </w:p>
        </w:tc>
        <w:tc>
          <w:tcPr>
            <w:tcW w:w="6646" w:type="dxa"/>
            <w:tcBorders/>
            <w:tcMar>
              <w:bottom w:w="0" w:type="dxa"/>
            </w:tcMar>
            <w:vAlign w:val="center"/>
          </w:tcPr>
          <w:p>
            <w:pPr>
              <w:pStyle w:val="TableHeading"/>
              <w:bidi w:val="0"/>
              <w:spacing w:lineRule="auto" w:line="314" w:before="0" w:after="0"/>
              <w:ind w:left="0" w:right="0" w:hanging="0"/>
              <w:jc w:val="both"/>
              <w:rPr/>
            </w:pPr>
            <w:r>
              <w:rPr/>
              <w: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pPr>
            <w:r>
              <w:rPr/>
              <w:t>​</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pPr>
            <w:r>
              <w:rPr/>
              <w:t>​</w:t>
            </w:r>
          </w:p>
        </w:tc>
      </w:tr>
      <w:tr>
        <w:trPr/>
        <w:tc>
          <w:tcPr>
            <w:tcW w:w="1156" w:type="dxa"/>
            <w:tcBorders/>
            <w:tcMar>
              <w:bottom w:w="0" w:type="dxa"/>
            </w:tcMar>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lineRule="auto" w:line="314" w:before="0" w:after="0"/>
              <w:ind w:left="0" w:right="0" w:hanging="0"/>
              <w:jc w:val="both"/>
              <w:rPr/>
            </w:pPr>
            <w:r>
              <w:rPr/>
              <w:t>​</w:t>
            </w:r>
          </w:p>
        </w:tc>
        <w:tc>
          <w:tcPr>
            <w:tcW w:w="6646" w:type="dxa"/>
            <w:tcBorders/>
            <w:tcMar>
              <w:bottom w:w="0" w:type="dxa"/>
            </w:tcMar>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Portions of this exhibit have been omitted in compliance with Regulation S-K Item 601(b)(10)(iv) because the Company has determined that the information is not material and is the type that the Company treats as private or confidential.</w:t>
            </w:r>
          </w:p>
        </w:tc>
      </w:tr>
    </w:tbl>
    <w:tbl>
      <w:tblPr>
        <w:tblW w:w="5702" w:type="dxa"/>
        <w:jc w:val="left"/>
        <w:tblInd w:w="0" w:type="dxa"/>
        <w:tblLayout w:type="fixed"/>
        <w:tblCellMar>
          <w:top w:w="0" w:type="dxa"/>
          <w:left w:w="0" w:type="dxa"/>
          <w:bottom w:w="0" w:type="dxa"/>
          <w:right w:w="0" w:type="dxa"/>
        </w:tblCellMar>
      </w:tblPr>
      <w:tblGrid>
        <w:gridCol w:w="676"/>
        <w:gridCol w:w="5026"/>
      </w:tblGrid>
      <w:tr>
        <w:trPr/>
        <w:tc>
          <w:tcPr>
            <w:tcW w:w="6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w:t>
            </w:r>
          </w:p>
        </w:tc>
        <w:tc>
          <w:tcPr>
            <w:tcW w:w="50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 w:name="SIGNATURES_648839"/>
      <w:bookmarkStart w:id="76" w:name="_bcdf3ba7_913d_4958_b0d1_18351c049c83"/>
      <w:bookmarkEnd w:id="75"/>
      <w:bookmarkEnd w:id="76"/>
      <w:r>
        <w:rPr>
          <w:rFonts w:ascii="Times New Roman;Times;serif" w:hAnsi="Times New Roman;Times;serif"/>
          <w:b/>
          <w:sz w:val="20"/>
        </w:rPr>
        <w:t>SIGNATURES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Exchange Act, the registrant has duly caused this report to be signed on its behalf by the undersigned, thereunto duly authorized, in the City of Midland, and the State of Texas, on the 31</w:t>
      </w:r>
      <w:r>
        <w:rPr>
          <w:rFonts w:ascii="Times New Roman;Times;serif" w:hAnsi="Times New Roman;Times;serif"/>
          <w:sz w:val="15"/>
        </w:rPr>
        <w:t>st</w:t>
      </w:r>
      <w:r>
        <w:rPr>
          <w:rFonts w:ascii="Times New Roman;Times;serif" w:hAnsi="Times New Roman;Times;serif"/>
          <w:sz w:val="20"/>
        </w:rPr>
        <w:t> day of March 2026.</w:t>
      </w:r>
    </w:p>
    <w:tbl>
      <w:tblPr>
        <w:tblW w:w="4117" w:type="dxa"/>
        <w:jc w:val="left"/>
        <w:tblInd w:w="0" w:type="dxa"/>
        <w:tblLayout w:type="fixed"/>
        <w:tblCellMar>
          <w:top w:w="0" w:type="dxa"/>
          <w:left w:w="0" w:type="dxa"/>
          <w:bottom w:w="0" w:type="dxa"/>
          <w:right w:w="0" w:type="dxa"/>
        </w:tblCellMar>
      </w:tblPr>
      <w:tblGrid>
        <w:gridCol w:w="124"/>
        <w:gridCol w:w="346"/>
        <w:gridCol w:w="406"/>
        <w:gridCol w:w="3241"/>
      </w:tblGrid>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  ​ ​ ​</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/s/ William A. Clark</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firstLine="720"/>
        <w:jc w:val="both"/>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Exchange Act, this report has been signed below by the following persons on behalf of the registrant and in the capacities and on the dates indicated.</w:t>
      </w:r>
    </w:p>
    <w:tbl>
      <w:tblPr>
        <w:tblW w:w="7910" w:type="dxa"/>
        <w:jc w:val="left"/>
        <w:tblInd w:w="0" w:type="dxa"/>
        <w:tblLayout w:type="fixed"/>
        <w:tblCellMar>
          <w:top w:w="0" w:type="dxa"/>
          <w:left w:w="0" w:type="dxa"/>
          <w:bottom w:w="28" w:type="dxa"/>
          <w:right w:w="0" w:type="dxa"/>
        </w:tblCellMar>
      </w:tblPr>
      <w:tblGrid>
        <w:gridCol w:w="2506"/>
        <w:gridCol w:w="346"/>
        <w:gridCol w:w="3601"/>
        <w:gridCol w:w="346"/>
        <w:gridCol w:w="1111"/>
      </w:tblGrid>
      <w:tr>
        <w:trPr/>
        <w:tc>
          <w:tcPr>
            <w:tcW w:w="250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6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1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50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0"/>
              <w:jc w:val="center"/>
              <w:rPr>
                <w:rFonts w:ascii="Times New Roman;Times;serif" w:hAnsi="Times New Roman;Times;serif"/>
                <w:smallCaps/>
                <w:sz w:val="20"/>
              </w:rPr>
            </w:pPr>
            <w:r>
              <w:rPr>
                <w:rFonts w:ascii="Times New Roman;Times;serif" w:hAnsi="Times New Roman;Times;serif"/>
                <w:smallCaps/>
                <w:sz w:val="20"/>
              </w:rPr>
              <w:t>/s/ Matthew Wilks</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Matthew Wilks</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mallCaps/>
                <w:sz w:val="20"/>
              </w:rPr>
            </w:pPr>
            <w:r>
              <w:rPr>
                <w:rFonts w:ascii="Times New Roman;Times;serif" w:hAnsi="Times New Roman;Times;serif"/>
                <w:smallCaps/>
                <w:sz w:val="20"/>
              </w:rPr>
              <w:t>/s/ Bruce Bradley</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Bruce Bradley</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Albert Conly</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Albert Conly</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Jose Carlos Fernandes</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Jose Carlos Fernandes</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mallCaps/>
                <w:sz w:val="20"/>
              </w:rPr>
            </w:pPr>
            <w:r>
              <w:rPr>
                <w:rFonts w:ascii="Times New Roman;Times;serif" w:hAnsi="Times New Roman;Times;serif"/>
                <w:smallCaps/>
                <w:sz w:val="20"/>
              </w:rPr>
              <w:t>/s/ Sergei Krylov</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Sergei Krylov</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A. Clark</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William A. Clark</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br/>
              <w:t>(principal executive officer)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pBdr>
                <w:bottom w:val="single" w:sz="2" w:space="1" w:color="000000"/>
              </w:pBdr>
              <w:bidi w:val="0"/>
              <w:spacing w:before="0" w:after="20"/>
              <w:ind w:left="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Ian Shaw</w:t>
            </w:r>
          </w:p>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Ian Shaw</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tcMar>
              <w:bottom w:w="0" w:type="dxa"/>
            </w:tcMar>
            <w:vAlign w:val="center"/>
          </w:tcPr>
          <w:p>
            <w:pPr>
              <w:pStyle w:val="TableContents"/>
              <w:bidi w:val="0"/>
              <w:spacing w:before="0" w:after="20"/>
              <w:ind w:left="0" w:right="0" w:hanging="0"/>
              <w:jc w:val="left"/>
              <w:rPr/>
            </w:pPr>
            <w:r>
              <w:rPr/>
              <w:t>​</w:t>
            </w:r>
          </w:p>
        </w:tc>
        <w:tc>
          <w:tcPr>
            <w:tcW w:w="111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03-31-2026</w:t>
            </w:r>
          </w:p>
        </w:tc>
      </w:tr>
      <w:tr>
        <w:trPr/>
        <w:tc>
          <w:tcPr>
            <w:tcW w:w="250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111"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 w:name="INDEXTOCONSOLIDATEDFINANCIALSTATEMENTS_8"/>
      <w:bookmarkStart w:id="78" w:name="_82f54620_4c30_40d7_9eb8_a1e7d2dd106c"/>
      <w:bookmarkEnd w:id="77"/>
      <w:bookmarkEnd w:id="78"/>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7741"/>
        <w:gridCol w:w="1437"/>
        <w:gridCol w:w="346"/>
        <w:gridCol w:w="526"/>
        <w:gridCol w:w="155"/>
      </w:tblGrid>
      <w:tr>
        <w:trPr/>
        <w:tc>
          <w:tcPr>
            <w:tcW w:w="7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15535" cy="29210"/>
                      <wp:effectExtent l="0" t="0" r="0" b="0"/>
                      <wp:wrapNone/>
                      <wp:docPr id="41" name="Frame41"/>
                      <a:graphic xmlns:a="http://schemas.openxmlformats.org/drawingml/2006/main">
                        <a:graphicData uri="http://schemas.microsoft.com/office/word/2010/wordprocessingShape">
                          <wps:wsp>
                            <wps:cNvSpPr txBox="1"/>
                            <wps:spPr>
                              <a:xfrm>
                                <a:off x="0" y="0"/>
                                <a:ext cx="491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8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32205" cy="175260"/>
                      <wp:effectExtent l="0" t="0" r="0" b="0"/>
                      <wp:wrapNone/>
                      <wp:docPr id="42" name="Frame42"/>
                      <a:graphic xmlns:a="http://schemas.openxmlformats.org/drawingml/2006/main">
                        <a:graphicData uri="http://schemas.microsoft.com/office/word/2010/wordprocessingShape">
                          <wps:wsp>
                            <wps:cNvSpPr txBox="1"/>
                            <wps:spPr>
                              <a:xfrm>
                                <a:off x="0" y="0"/>
                                <a:ext cx="1132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34010" cy="29210"/>
                      <wp:effectExtent l="0" t="0" r="0" b="0"/>
                      <wp:wrapNone/>
                      <wp:docPr id="43" name="Frame43"/>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8425" cy="29210"/>
                      <wp:effectExtent l="0" t="0" r="0" b="0"/>
                      <wp:wrapNone/>
                      <wp:docPr id="44" name="Frame44"/>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7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 of Dawson Geophysical Company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40"/>
              <w:ind w:left="0" w:right="0" w:hanging="0"/>
              <w:jc w:val="left"/>
              <w:rPr/>
            </w:pPr>
            <w:hyperlink w:anchor="Report">
              <w:r>
                <w:rPr>
                  <w:rStyle w:val="InternetLink"/>
                  <w:rFonts w:ascii="Times New Roman;Times;serif" w:hAnsi="Times New Roman;Times;serif"/>
                  <w:b w:val="false"/>
                  <w:i w:val="false"/>
                  <w:caps w:val="false"/>
                  <w:smallCaps w:val="false"/>
                  <w:sz w:val="20"/>
                </w:rPr>
                <w:t xml:space="preserve">Report of Independent Registered Public Accounting Firm </w:t>
              </w:r>
            </w:hyperlink>
            <w:r>
              <w:rPr>
                <w:rFonts w:ascii="Times New Roman;Times;serif" w:hAnsi="Times New Roman;Times;serif"/>
                <w:sz w:val="20"/>
              </w:rPr>
              <w:t>(PCAOB ID 49)</w:t>
            </w:r>
          </w:p>
        </w:tc>
        <w:tc>
          <w:tcPr>
            <w:tcW w:w="346" w:type="dxa"/>
            <w:tcBorders/>
            <w:vAlign w:val="center"/>
          </w:tcPr>
          <w:p>
            <w:pPr>
              <w:pStyle w:val="TableContents"/>
              <w:pBdr/>
              <w:bidi w:val="0"/>
              <w:spacing w:before="0" w:after="40"/>
              <w:ind w:left="0" w:right="0" w:hanging="0"/>
              <w:jc w:val="left"/>
              <w:rPr/>
            </w:pPr>
            <w:r>
              <w:rPr/>
              <w:t>​</w:t>
            </w:r>
          </w:p>
        </w:tc>
        <w:tc>
          <w:tcPr>
            <w:tcW w:w="526" w:type="dxa"/>
            <w:tcBorders>
              <w:top w:val="single" w:sz="2" w:space="0" w:color="000000"/>
            </w:tcBorders>
            <w:tcMar>
              <w:top w:w="28" w:type="dxa"/>
            </w:tcMar>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F-2</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40"/>
              <w:ind w:left="0" w:right="0" w:hanging="0"/>
              <w:jc w:val="left"/>
              <w:rPr/>
            </w:pPr>
            <w:hyperlink w:anchor="CONSOLIDATEDBALANCESHEETS_55948">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46" w:type="dxa"/>
            <w:tcBorders/>
            <w:vAlign w:val="center"/>
          </w:tcPr>
          <w:p>
            <w:pPr>
              <w:pStyle w:val="TableContents"/>
              <w:pBdr/>
              <w:bidi w:val="0"/>
              <w:spacing w:before="0" w:after="40"/>
              <w:ind w:left="0" w:right="0" w:hanging="0"/>
              <w:jc w:val="left"/>
              <w:rPr/>
            </w:pPr>
            <w:r>
              <w:rPr/>
              <w:t>​</w:t>
            </w:r>
          </w:p>
        </w:tc>
        <w:tc>
          <w:tcPr>
            <w:tcW w:w="526"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F-4</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40"/>
              <w:ind w:left="0" w:right="0" w:hanging="0"/>
              <w:jc w:val="left"/>
              <w:rPr/>
            </w:pPr>
            <w:hyperlink w:anchor="COMPREHENSIVELOSSINCOME_515700">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346" w:type="dxa"/>
            <w:tcBorders/>
            <w:vAlign w:val="center"/>
          </w:tcPr>
          <w:p>
            <w:pPr>
              <w:pStyle w:val="TableContents"/>
              <w:pBdr/>
              <w:bidi w:val="0"/>
              <w:spacing w:before="0" w:after="40"/>
              <w:ind w:left="0" w:right="0" w:hanging="0"/>
              <w:jc w:val="left"/>
              <w:rPr/>
            </w:pPr>
            <w:r>
              <w:rPr/>
              <w:t>​</w:t>
            </w:r>
          </w:p>
        </w:tc>
        <w:tc>
          <w:tcPr>
            <w:tcW w:w="526"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F-5</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40"/>
              <w:ind w:left="0" w:right="0" w:hanging="0"/>
              <w:jc w:val="left"/>
              <w:rPr/>
            </w:pPr>
            <w:hyperlink w:anchor="STOCKHOLDERSEQUITY_211555">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2025 and 2024 </w:t>
              </w:r>
            </w:hyperlink>
          </w:p>
        </w:tc>
        <w:tc>
          <w:tcPr>
            <w:tcW w:w="346" w:type="dxa"/>
            <w:tcBorders/>
            <w:vAlign w:val="center"/>
          </w:tcPr>
          <w:p>
            <w:pPr>
              <w:pStyle w:val="TableContents"/>
              <w:pBdr/>
              <w:bidi w:val="0"/>
              <w:spacing w:before="0" w:after="40"/>
              <w:ind w:left="0" w:right="0" w:hanging="0"/>
              <w:jc w:val="left"/>
              <w:rPr/>
            </w:pPr>
            <w:r>
              <w:rPr/>
              <w:t>​</w:t>
            </w:r>
          </w:p>
        </w:tc>
        <w:tc>
          <w:tcPr>
            <w:tcW w:w="526"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F-6</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40"/>
              <w:ind w:left="0" w:right="0" w:hanging="0"/>
              <w:jc w:val="left"/>
              <w:rPr/>
            </w:pPr>
            <w:hyperlink w:anchor="STATEMENTSOFCASHFLOWS_755369">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46" w:type="dxa"/>
            <w:tcBorders/>
            <w:vAlign w:val="center"/>
          </w:tcPr>
          <w:p>
            <w:pPr>
              <w:pStyle w:val="TableContents"/>
              <w:pBdr/>
              <w:bidi w:val="0"/>
              <w:spacing w:before="0" w:after="40"/>
              <w:ind w:left="0" w:right="0" w:hanging="0"/>
              <w:jc w:val="left"/>
              <w:rPr/>
            </w:pPr>
            <w:r>
              <w:rPr/>
              <w:t>​</w:t>
            </w:r>
          </w:p>
        </w:tc>
        <w:tc>
          <w:tcPr>
            <w:tcW w:w="526"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F-7</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9178" w:type="dxa"/>
            <w:gridSpan w:val="2"/>
            <w:tcBorders/>
            <w:vAlign w:val="center"/>
          </w:tcPr>
          <w:p>
            <w:pPr>
              <w:pStyle w:val="TableContents"/>
              <w:pBdr/>
              <w:bidi w:val="0"/>
              <w:spacing w:before="0" w:after="0"/>
              <w:ind w:left="0" w:right="0" w:hanging="0"/>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pBdr/>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lineRule="auto" w:line="314" w:before="0" w:after="12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79" w:name="Report"/>
      <w:bookmarkStart w:id="80" w:name="_a802160c_990c_4bbf_bcc6_a09c14adb37b"/>
      <w:bookmarkEnd w:id="79"/>
      <w:bookmarkEnd w:id="80"/>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Board of Directors 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Dawson Geophysical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Dawson Geophysical Company and its subsidiaries (the Company) as of December 31, 2025 and 2024, the related consolidated statements of operations and comprehensive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w:t>
      </w:r>
      <w:r>
        <w:rPr>
          <w:rFonts w:ascii="Arial;Helvetica;sans-serif" w:hAnsi="Arial;Helvetica;sans-serif"/>
          <w:sz w:val="20"/>
        </w:rPr>
        <w:t xml:space="preserve"> </w:t>
      </w:r>
      <w:r>
        <w:rPr>
          <w:rFonts w:ascii="Times New Roman;Times;serif" w:hAnsi="Times New Roman;Times;serif"/>
          <w:sz w:val="20"/>
        </w:rPr>
        <w:t>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4" w:before="0" w:after="0"/>
              <w:ind w:left="0" w:right="0" w:hanging="0"/>
              <w:jc w:val="left"/>
              <w:rPr/>
            </w:pPr>
            <w:r>
              <w:rPr/>
              <w:t>​</w:t>
            </w:r>
          </w:p>
          <w:p>
            <w:pPr>
              <w:pStyle w:val="TableContents"/>
              <w:bidi w:val="0"/>
              <w:spacing w:lineRule="auto" w:line="304" w:before="0" w:after="0"/>
              <w:ind w:left="0" w:right="0" w:hanging="0"/>
              <w:jc w:val="left"/>
              <w:rPr/>
            </w:pPr>
            <w:r>
              <w:rPr/>
              <w:t>​</w:t>
            </w:r>
          </w:p>
          <w:p>
            <w:pPr>
              <w:pStyle w:val="TableContents"/>
              <w:bidi w:val="0"/>
              <w:spacing w:lineRule="auto" w:line="304" w:before="0" w:after="0"/>
              <w:ind w:left="0" w:right="0" w:hanging="0"/>
              <w:jc w:val="left"/>
              <w:rPr/>
            </w:pPr>
            <w:r>
              <w:rPr/>
              <w:t>​</w:t>
            </w:r>
          </w:p>
          <w:p>
            <w:pPr>
              <w:pStyle w:val="TableContents"/>
              <w:bidi w:val="0"/>
              <w:spacing w:lineRule="auto" w:line="304" w:before="0" w:after="0"/>
              <w:jc w:val="left"/>
              <w:rPr/>
            </w:pPr>
            <w:r>
              <w:rPr/>
              <w:t>●</w:t>
            </w:r>
          </w:p>
          <w:p>
            <w:pPr>
              <w:pStyle w:val="TableContents"/>
              <w:bidi w:val="0"/>
              <w:spacing w:lineRule="auto" w:line="304" w:before="0" w:after="0"/>
              <w:ind w:left="0" w:right="0" w:hanging="0"/>
              <w:jc w:val="left"/>
              <w:rPr/>
            </w:pPr>
            <w:r>
              <w:rPr/>
              <w:t>​</w:t>
            </w:r>
          </w:p>
          <w:p>
            <w:pPr>
              <w:pStyle w:val="TableContents"/>
              <w:bidi w:val="0"/>
              <w:spacing w:lineRule="auto" w:line="304" w:before="0" w:after="0"/>
              <w:jc w:val="left"/>
              <w:rPr/>
            </w:pPr>
            <w:r>
              <w:rPr/>
              <w:t>●</w:t>
            </w:r>
          </w:p>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 – Revenue Recognized Over Time Under Uncompleted Contracts</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in Note 1 to the financial statements, the Company recognizes revenue for services under cancelable service contracts with customers as the services are performed, using an output method, based on receivers laid out and picked up compared to total receivers anticipated to be recorded on the survey using the total estimated revenue for the service contract. As described in Note 6 to the financial statements, the Company recognized $8.4 million of revenue for the year ended December 31, 2025, on contracts that were uncompleted as of December 31, 2025.</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identified the revenue recognized for the year ended December 31, 2025, under contracts that were uncomplete as of December 31, 2025, as a critical audit matter because of the significant inputs used by management in determining the amount of revenue to recognize prior to completion of all the performance obligations included in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contracts. Auditing management’s inputs involved an increase in audit effort due to the impact these inputs could have on the accounting estimate.</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 procedures related to revenue recognized for the year ended December 31, 2025, under contracts that were uncompleted as of December 31, 2025, included the following, among others:</w:t>
            </w:r>
          </w:p>
          <w:p>
            <w:pPr>
              <w:pStyle w:val="TableContents"/>
              <w:bidi w:val="0"/>
              <w:spacing w:before="0" w:after="0"/>
              <w:ind w:left="0" w:right="0" w:hanging="0"/>
              <w:jc w:val="left"/>
              <w:rPr/>
            </w:pPr>
            <w:r>
              <w:rPr/>
              <w: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a sample of uncompleted contracts as of December 31, 2025, and we performed the following:</w:t>
            </w:r>
          </w:p>
          <w:p>
            <w:pPr>
              <w:pStyle w:val="TableContents"/>
              <w:bidi w:val="0"/>
              <w:spacing w:before="0" w:after="0"/>
              <w:ind w:left="0" w:right="0" w:hanging="0"/>
              <w:jc w:val="left"/>
              <w:rPr/>
            </w:pPr>
            <w:r>
              <w:rPr/>
              <w:t>​</w:t>
            </w:r>
          </w:p>
          <w:p>
            <w:pPr>
              <w:pStyle w:val="TableContents"/>
              <w:bidi w:val="0"/>
              <w:spacing w:before="0" w:after="0"/>
              <w:jc w:val="left"/>
              <w:rPr>
                <w:rFonts w:ascii="Courier New" w:hAnsi="Courier New"/>
                <w:sz w:val="20"/>
              </w:rPr>
            </w:pPr>
            <w:r>
              <w:rPr>
                <w:rFonts w:ascii="Courier New" w:hAnsi="Courier New"/>
                <w:sz w:val="20"/>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compared the number of receivers laid out and picked up to logs of such activities prepared by the personnel conducting the surveys, compared the number of total receivers anticipated to be recorded on the surveys to information in the customer contract, recomputed the percentage of completion of the contracts at December 31, 2025, and recomputed the amount of revenue recognized through December 31, 2025.</w:t>
            </w:r>
          </w:p>
          <w:p>
            <w:pPr>
              <w:pStyle w:val="TableContents"/>
              <w:bidi w:val="0"/>
              <w:spacing w:before="0" w:after="0"/>
              <w:ind w:left="1080" w:right="0" w:hanging="0"/>
              <w:jc w:val="left"/>
              <w:rPr/>
            </w:pPr>
            <w:r>
              <w:rPr/>
              <w:t>​</w:t>
            </w:r>
          </w:p>
          <w:p>
            <w:pPr>
              <w:pStyle w:val="TableContents"/>
              <w:bidi w:val="0"/>
              <w:spacing w:before="0" w:after="0"/>
              <w:jc w:val="left"/>
              <w:rPr>
                <w:rFonts w:ascii="Courier New" w:hAnsi="Courier New"/>
                <w:sz w:val="20"/>
              </w:rPr>
            </w:pPr>
            <w:r>
              <w:rPr>
                <w:rFonts w:ascii="Courier New" w:hAnsi="Courier New"/>
                <w:sz w:val="20"/>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estimate of the total revenues expected to be recognized upon completion of all performance obligations in the contracts by comparing to actual amounts recognized subsequent to December 31, 2025, and other information available subsequent to December 31, 2025.</w:t>
            </w:r>
          </w:p>
          <w:p>
            <w:pPr>
              <w:pStyle w:val="TableContents"/>
              <w:bidi w:val="0"/>
              <w:spacing w:lineRule="auto" w:line="314" w:before="0" w:after="120"/>
              <w:ind w:left="720" w:right="0" w:hanging="0"/>
              <w:jc w:val="left"/>
              <w:rPr/>
            </w:pPr>
            <w:r>
              <w:rPr/>
              <w:t>​</w:t>
            </w:r>
          </w:p>
          <w:p>
            <w:pPr>
              <w:pStyle w:val="TableContents"/>
              <w:bidi w:val="0"/>
              <w:spacing w:before="0" w:after="0"/>
              <w:jc w:val="left"/>
              <w:rPr>
                <w:rFonts w:ascii="Courier New" w:hAnsi="Courier New"/>
                <w:sz w:val="20"/>
              </w:rPr>
            </w:pPr>
            <w:r>
              <w:rPr>
                <w:rFonts w:ascii="Courier New" w:hAnsi="Courier New"/>
                <w:sz w:val="20"/>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confirmations of certain contract details to the Company’s customers, including total contract price, receivers laid out and picked up through December 31, 2025, and total receivers anticipated to be recorded upon completion of the contract.</w:t>
            </w:r>
          </w:p>
          <w:p>
            <w:pPr>
              <w:pStyle w:val="TableContents"/>
              <w:bidi w:val="0"/>
              <w:spacing w:before="0" w:after="120"/>
              <w:ind w:left="360" w:right="0" w:hanging="0"/>
              <w:jc w:val="left"/>
              <w:rPr/>
            </w:pPr>
            <w:r>
              <w:rPr/>
              <w:t>​</w:t>
            </w:r>
          </w:p>
          <w:p>
            <w:pPr>
              <w:pStyle w:val="TableContents"/>
              <w:bidi w:val="0"/>
              <w:spacing w:lineRule="auto" w:line="304"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RSM US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31, 2026</w:t>
      </w:r>
    </w:p>
    <w:p>
      <w:pPr>
        <w:pStyle w:val="TextBody"/>
        <w:bidi w:val="0"/>
        <w:spacing w:lineRule="auto" w:line="314" w:before="0" w:after="240"/>
        <w:ind w:left="0" w:right="0" w:hanging="0"/>
        <w:jc w:val="left"/>
        <w:rPr>
          <w:shd w:fill="FFFF00" w:val="clear"/>
        </w:rPr>
      </w:pPr>
      <w:r>
        <w:rPr>
          <w:shd w:fill="FFFF00"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 w:name="_51f9cfa4_4161_46a4_99b9_da5a27677adc"/>
      <w:bookmarkEnd w:id="81"/>
      <w:r>
        <w:rPr>
          <w:rFonts w:ascii="Times New Roman;Times;serif" w:hAnsi="Times New Roman;Times;serif"/>
          <w:b/>
          <w:sz w:val="20"/>
        </w:rPr>
        <w:t>DAWSON GEOPHYSICAL COMPANY</w:t>
      </w:r>
    </w:p>
    <w:p>
      <w:pPr>
        <w:pStyle w:val="TextBody"/>
        <w:bidi w:val="0"/>
        <w:spacing w:before="0" w:after="0"/>
        <w:ind w:left="0" w:right="0" w:hanging="0"/>
        <w:jc w:val="center"/>
        <w:rPr>
          <w:rFonts w:ascii="Times New Roman;Times;serif" w:hAnsi="Times New Roman;Times;serif"/>
          <w:b/>
          <w:sz w:val="20"/>
        </w:rPr>
      </w:pPr>
      <w:bookmarkStart w:id="82" w:name="CONSOLIDATEDBALANCESHEETS_55948"/>
      <w:bookmarkEnd w:id="82"/>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Normal"/>
        <w:bidi w:val="0"/>
        <w:spacing w:before="0" w:after="0"/>
        <w:jc w:val="left"/>
        <w:rPr>
          <w:sz w:val="4"/>
          <w:szCs w:val="4"/>
        </w:rPr>
      </w:pPr>
      <w:r>
        <w:rPr>
          <w:sz w:val="4"/>
          <w:szCs w:val="4"/>
        </w:rPr>
      </w:r>
      <w:bookmarkStart w:id="83" w:name="Tc_T9E_H8TXe06Y4_0rDvSutg_51_5"/>
      <w:bookmarkStart w:id="84" w:name="Tc_8KGrarfCZ0e_QL5yjTFdgg_51_2"/>
      <w:bookmarkStart w:id="85" w:name="Tc_F6XAfDHbFEKyP3dqQy95Ew_51_0"/>
      <w:bookmarkStart w:id="86" w:name="Tc_EbBFVb8kNE-cOQBakIJ4ww_49_0"/>
      <w:bookmarkStart w:id="87" w:name="Tc_CAL-wSc4zUqoCONjTxn6vw_48_0"/>
      <w:bookmarkStart w:id="88" w:name="Tc_-zdI5yT4Q0SBTbl-gWN12Q_47_0"/>
      <w:bookmarkStart w:id="89" w:name="Tc_n1z8-q1PHUypWWGrc-36uQ_46_0"/>
      <w:bookmarkStart w:id="90" w:name="Tc_WuVsO12wzUyKHYSaUA8e2w_45_0"/>
      <w:bookmarkStart w:id="91" w:name="Tc_Pae7QZ22l0ik1N31udrvnw_44_0"/>
      <w:bookmarkStart w:id="92" w:name="Tc_e5RRnSpxMEa-KFR1eqiIDQ_43_0"/>
      <w:bookmarkStart w:id="93" w:name="Tc_VDNtBAGboE-8agTUeOGmaQ_42_0"/>
      <w:bookmarkStart w:id="94" w:name="Tc_R0qE8hYTwUeeYaqiJOyMhQ_41_0"/>
      <w:bookmarkStart w:id="95" w:name="Tc_hIQ-EMof4kqKGAFKQu__cQ_39_0"/>
      <w:bookmarkStart w:id="96" w:name="Tc_6luWtBcWvE2x6CLwroi5pw_37_0"/>
      <w:bookmarkStart w:id="97" w:name="Tc_2get3AiGQUCxf8gPpCieKg_36_0"/>
      <w:bookmarkStart w:id="98" w:name="Tc_40SEYyki-UadyNt13le1gw_35_0"/>
      <w:bookmarkStart w:id="99" w:name="Tc_HKMVuw3s_kGXgjz6i6PEDw_34_0"/>
      <w:bookmarkStart w:id="100" w:name="Tc_5_84Otxkt0-h7lyVq74XxQ_33_0"/>
      <w:bookmarkStart w:id="101" w:name="Tc_1NwYxDP7PEakx5TCJ_hDCg_31_0"/>
      <w:bookmarkStart w:id="102" w:name="Tc_w3AAIKxHGkG-qvSX0BAnAQ_30_0"/>
      <w:bookmarkStart w:id="103" w:name="Tc__664nyM01ES2gQAu3DISPQ_29_0"/>
      <w:bookmarkStart w:id="104" w:name="Tc_Zq24OHGQcUGR2r2ftEG6jw_28_0"/>
      <w:bookmarkStart w:id="105" w:name="Tc_buq35STsvkezzNI7nLQK0Q_27_0"/>
      <w:bookmarkStart w:id="106" w:name="Tc_tId8aAsrjkCT4Rj8N_6yhg_26_0"/>
      <w:bookmarkStart w:id="107" w:name="Tc_VXvMyzHag0GfFYVIjhsPOg_25_0"/>
      <w:bookmarkStart w:id="108" w:name="Tc_u8cpfmjGz0uaJYqcGE4JTA_24_5"/>
      <w:bookmarkStart w:id="109" w:name="Tc_ho1LlMPFM0msEjnqo1OONw_24_2"/>
      <w:bookmarkStart w:id="110" w:name="Tc_p05Y-mMW2UGKLzLYT4wIHg_24_0"/>
      <w:bookmarkStart w:id="111" w:name="Tc_R5QblpM_U0qNxCJjc6cgzw_23_0"/>
      <w:bookmarkStart w:id="112" w:name="Tc_ONyEt0BnjE-rspd8snfbKw_22_0"/>
      <w:bookmarkStart w:id="113" w:name="Tc_0aztxTIhc0qgMfYAnmQEiQ_20_5"/>
      <w:bookmarkStart w:id="114" w:name="Tc_REqqkXYTrkCNEv6f3W0ZPA_20_2"/>
      <w:bookmarkStart w:id="115" w:name="Tc__j9jCbzJfEWu1YWxhaQxUQ_20_0"/>
      <w:bookmarkStart w:id="116" w:name="Tc_BhaHaNZjI0GPlTBtlz7y-g_18_0"/>
      <w:bookmarkStart w:id="117" w:name="Tc_uepb12njF0K6pANAqCQqOw_16_0"/>
      <w:bookmarkStart w:id="118" w:name="Tc_1FRvX60MZ0yuxU3En6cp8w_14_0"/>
      <w:bookmarkStart w:id="119" w:name="Tc_WNbpjMnzqEi095QBPrHr6w_13_0"/>
      <w:bookmarkStart w:id="120" w:name="Tc_ab54i9pumUOM5UUrow3NYA_12_0"/>
      <w:bookmarkStart w:id="121" w:name="Tc_GqeZTJXWgkKzbMxJxSGAww_10_0"/>
      <w:bookmarkStart w:id="122" w:name="Tc_Ur8XR-SDXEC1WxvbT4UDVQ_9_0"/>
      <w:bookmarkStart w:id="123" w:name="Tc_fGv1XVBMjEC-u7BAX8wRcg_8_0"/>
      <w:bookmarkStart w:id="124" w:name="Tc_wvPwOpK4dUOegrI6bEv9lQ_7_0"/>
      <w:bookmarkStart w:id="125" w:name="Tc_oIa5S8cic0GVP3Zno3jn9A_6_6"/>
      <w:bookmarkStart w:id="126" w:name="Tc_JqBC_NBoXkGlOD3enypFYA_6_0"/>
      <w:bookmarkStart w:id="127" w:name="Tc_7fc5lAsCfEGL7nC-S2CCEQ_5_5"/>
      <w:bookmarkStart w:id="128" w:name="Tc_oNMkHk_9zUqch03pMlrL6Q_5_2"/>
      <w:bookmarkStart w:id="129" w:name="Tc_yQQXVgL0x0WrDFi-jHMoxA_5_0"/>
      <w:bookmarkStart w:id="130" w:name="Tc_wB7ZyU7T8kiEQDplV8GBfA_4_0"/>
      <w:bookmarkStart w:id="131" w:name="Tc_Zxawjd6rEkmx-10Yw5J63A_3_0"/>
      <w:bookmarkStart w:id="132" w:name="Tc_Aowcpk4R5EaZzULOaJsJQw_2_5"/>
      <w:bookmarkStart w:id="133" w:name="Tc_TgV0KB6tvUedLEq69f1Dzw_2_2"/>
      <w:bookmarkStart w:id="134" w:name="Tc_Rr_FGGCNYkqsRcLouvaGOw_1_5"/>
      <w:bookmarkStart w:id="135" w:name="Tc_4L4RcHAkRkypn9-dyaKUNQ_1_2"/>
      <w:bookmarkStart w:id="136" w:name="_d70cf6d0_d802_4caf_b7b6_740254ce2325"/>
      <w:bookmarkStart w:id="137" w:name="Tc_T9E_H8TXe06Y4_0rDvSutg_51_5"/>
      <w:bookmarkStart w:id="138" w:name="Tc_8KGrarfCZ0e_QL5yjTFdgg_51_2"/>
      <w:bookmarkStart w:id="139" w:name="Tc_F6XAfDHbFEKyP3dqQy95Ew_51_0"/>
      <w:bookmarkStart w:id="140" w:name="Tc_EbBFVb8kNE-cOQBakIJ4ww_49_0"/>
      <w:bookmarkStart w:id="141" w:name="Tc_CAL-wSc4zUqoCONjTxn6vw_48_0"/>
      <w:bookmarkStart w:id="142" w:name="Tc_-zdI5yT4Q0SBTbl-gWN12Q_47_0"/>
      <w:bookmarkStart w:id="143" w:name="Tc_n1z8-q1PHUypWWGrc-36uQ_46_0"/>
      <w:bookmarkStart w:id="144" w:name="Tc_WuVsO12wzUyKHYSaUA8e2w_45_0"/>
      <w:bookmarkStart w:id="145" w:name="Tc_Pae7QZ22l0ik1N31udrvnw_44_0"/>
      <w:bookmarkStart w:id="146" w:name="Tc_e5RRnSpxMEa-KFR1eqiIDQ_43_0"/>
      <w:bookmarkStart w:id="147" w:name="Tc_VDNtBAGboE-8agTUeOGmaQ_42_0"/>
      <w:bookmarkStart w:id="148" w:name="Tc_R0qE8hYTwUeeYaqiJOyMhQ_41_0"/>
      <w:bookmarkStart w:id="149" w:name="Tc_hIQ-EMof4kqKGAFKQu__cQ_39_0"/>
      <w:bookmarkStart w:id="150" w:name="Tc_6luWtBcWvE2x6CLwroi5pw_37_0"/>
      <w:bookmarkStart w:id="151" w:name="Tc_2get3AiGQUCxf8gPpCieKg_36_0"/>
      <w:bookmarkStart w:id="152" w:name="Tc_40SEYyki-UadyNt13le1gw_35_0"/>
      <w:bookmarkStart w:id="153" w:name="Tc_HKMVuw3s_kGXgjz6i6PEDw_34_0"/>
      <w:bookmarkStart w:id="154" w:name="Tc_5_84Otxkt0-h7lyVq74XxQ_33_0"/>
      <w:bookmarkStart w:id="155" w:name="Tc_1NwYxDP7PEakx5TCJ_hDCg_31_0"/>
      <w:bookmarkStart w:id="156" w:name="Tc_w3AAIKxHGkG-qvSX0BAnAQ_30_0"/>
      <w:bookmarkStart w:id="157" w:name="Tc__664nyM01ES2gQAu3DISPQ_29_0"/>
      <w:bookmarkStart w:id="158" w:name="Tc_Zq24OHGQcUGR2r2ftEG6jw_28_0"/>
      <w:bookmarkStart w:id="159" w:name="Tc_buq35STsvkezzNI7nLQK0Q_27_0"/>
      <w:bookmarkStart w:id="160" w:name="Tc_tId8aAsrjkCT4Rj8N_6yhg_26_0"/>
      <w:bookmarkStart w:id="161" w:name="Tc_VXvMyzHag0GfFYVIjhsPOg_25_0"/>
      <w:bookmarkStart w:id="162" w:name="Tc_u8cpfmjGz0uaJYqcGE4JTA_24_5"/>
      <w:bookmarkStart w:id="163" w:name="Tc_ho1LlMPFM0msEjnqo1OONw_24_2"/>
      <w:bookmarkStart w:id="164" w:name="Tc_p05Y-mMW2UGKLzLYT4wIHg_24_0"/>
      <w:bookmarkStart w:id="165" w:name="Tc_R5QblpM_U0qNxCJjc6cgzw_23_0"/>
      <w:bookmarkStart w:id="166" w:name="Tc_ONyEt0BnjE-rspd8snfbKw_22_0"/>
      <w:bookmarkStart w:id="167" w:name="Tc_0aztxTIhc0qgMfYAnmQEiQ_20_5"/>
      <w:bookmarkStart w:id="168" w:name="Tc_REqqkXYTrkCNEv6f3W0ZPA_20_2"/>
      <w:bookmarkStart w:id="169" w:name="Tc__j9jCbzJfEWu1YWxhaQxUQ_20_0"/>
      <w:bookmarkStart w:id="170" w:name="Tc_BhaHaNZjI0GPlTBtlz7y-g_18_0"/>
      <w:bookmarkStart w:id="171" w:name="Tc_uepb12njF0K6pANAqCQqOw_16_0"/>
      <w:bookmarkStart w:id="172" w:name="Tc_1FRvX60MZ0yuxU3En6cp8w_14_0"/>
      <w:bookmarkStart w:id="173" w:name="Tc_WNbpjMnzqEi095QBPrHr6w_13_0"/>
      <w:bookmarkStart w:id="174" w:name="Tc_ab54i9pumUOM5UUrow3NYA_12_0"/>
      <w:bookmarkStart w:id="175" w:name="Tc_GqeZTJXWgkKzbMxJxSGAww_10_0"/>
      <w:bookmarkStart w:id="176" w:name="Tc_Ur8XR-SDXEC1WxvbT4UDVQ_9_0"/>
      <w:bookmarkStart w:id="177" w:name="Tc_fGv1XVBMjEC-u7BAX8wRcg_8_0"/>
      <w:bookmarkStart w:id="178" w:name="Tc_wvPwOpK4dUOegrI6bEv9lQ_7_0"/>
      <w:bookmarkStart w:id="179" w:name="Tc_oIa5S8cic0GVP3Zno3jn9A_6_6"/>
      <w:bookmarkStart w:id="180" w:name="Tc_JqBC_NBoXkGlOD3enypFYA_6_0"/>
      <w:bookmarkStart w:id="181" w:name="Tc_7fc5lAsCfEGL7nC-S2CCEQ_5_5"/>
      <w:bookmarkStart w:id="182" w:name="Tc_oNMkHk_9zUqch03pMlrL6Q_5_2"/>
      <w:bookmarkStart w:id="183" w:name="Tc_yQQXVgL0x0WrDFi-jHMoxA_5_0"/>
      <w:bookmarkStart w:id="184" w:name="Tc_wB7ZyU7T8kiEQDplV8GBfA_4_0"/>
      <w:bookmarkStart w:id="185" w:name="Tc_Zxawjd6rEkmx-10Yw5J63A_3_0"/>
      <w:bookmarkStart w:id="186" w:name="Tc_Aowcpk4R5EaZzULOaJsJQw_2_5"/>
      <w:bookmarkStart w:id="187" w:name="Tc_TgV0KB6tvUedLEq69f1Dzw_2_2"/>
      <w:bookmarkStart w:id="188" w:name="Tc_Rr_FGGCNYkqsRcLouvaGOw_1_5"/>
      <w:bookmarkStart w:id="189" w:name="Tc_4L4RcHAkRkypn9-dyaKUNQ_1_2"/>
      <w:bookmarkStart w:id="190" w:name="_d70cf6d0_d802_4caf_b7b6_740254ce232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9407" w:type="dxa"/>
        <w:jc w:val="left"/>
        <w:tblInd w:w="0" w:type="dxa"/>
        <w:tblLayout w:type="fixed"/>
        <w:tblCellMar>
          <w:top w:w="0" w:type="dxa"/>
          <w:left w:w="0" w:type="dxa"/>
          <w:bottom w:w="0" w:type="dxa"/>
          <w:right w:w="0" w:type="dxa"/>
        </w:tblCellMar>
      </w:tblPr>
      <w:tblGrid>
        <w:gridCol w:w="6436"/>
        <w:gridCol w:w="346"/>
        <w:gridCol w:w="244"/>
        <w:gridCol w:w="94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086860" cy="175260"/>
                      <wp:effectExtent l="0" t="0" r="0" b="0"/>
                      <wp:wrapNone/>
                      <wp:docPr id="45" name="Frame45"/>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4940" cy="175260"/>
                      <wp:effectExtent l="0" t="0" r="0" b="0"/>
                      <wp:wrapNone/>
                      <wp:docPr id="47" name="Frame4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7535" cy="175260"/>
                      <wp:effectExtent l="0" t="0" r="0" b="0"/>
                      <wp:wrapNone/>
                      <wp:docPr id="48" name="Frame48"/>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0970" cy="175260"/>
                      <wp:effectExtent l="0" t="0" r="0" b="0"/>
                      <wp:wrapNone/>
                      <wp:docPr id="50" name="Frame5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82930" cy="175260"/>
                      <wp:effectExtent l="0" t="0" r="0" b="0"/>
                      <wp:wrapNone/>
                      <wp:docPr id="51" name="Frame51"/>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1285" cy="175260"/>
                      <wp:effectExtent l="0" t="0" r="0" b="0"/>
                      <wp:wrapNone/>
                      <wp:docPr id="52" name="Frame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 of $250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December 31, 2025 and 2024</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9,970</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14,541</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238,064</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12,979</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3,002</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3,381</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2,014</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16)</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31,052,840 and 30,983,437 shares issued and outstanding at December 31, 2025 </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240" w:after="240"/>
        <w:ind w:left="0" w:right="0" w:hanging="0"/>
        <w:jc w:val="center"/>
        <w:rPr>
          <w:rFonts w:ascii="Times New Roman;Times;serif" w:hAnsi="Times New Roman;Times;serif"/>
          <w:sz w:val="18"/>
        </w:rPr>
      </w:pPr>
      <w:r>
        <w:rPr>
          <w:rFonts w:ascii="Times New Roman;Times;serif" w:hAnsi="Times New Roman;Times;serif"/>
          <w:sz w:val="20"/>
        </w:rPr>
        <w:t>See</w:t>
      </w:r>
      <w:r>
        <w:rPr>
          <w:rFonts w:ascii="Times New Roman;Times;serif" w:hAnsi="Times New Roman;Times;serif"/>
          <w:sz w:val="18"/>
        </w:rPr>
        <w:t xml:space="preserve"> </w:t>
      </w:r>
      <w:r>
        <w:rPr>
          <w:rFonts w:ascii="Times New Roman;Times;serif" w:hAnsi="Times New Roman;Times;serif"/>
          <w:sz w:val="20"/>
        </w:rPr>
        <w:t>accompanying notes to the consolidated financial statements.</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1" w:name="_807eee73_befc_468b_8e01_23b5a1ee7837"/>
      <w:bookmarkEnd w:id="191"/>
      <w:r>
        <w:rPr>
          <w:rFonts w:ascii="Times New Roman;Times;serif" w:hAnsi="Times New Roman;Times;serif"/>
          <w:b/>
          <w:sz w:val="20"/>
        </w:rPr>
        <w:t>DAWSON GEOPHYSICAL COMPANY</w:t>
      </w:r>
    </w:p>
    <w:p>
      <w:pPr>
        <w:pStyle w:val="TextBody"/>
        <w:bidi w:val="0"/>
        <w:spacing w:before="0" w:after="0"/>
        <w:ind w:left="0" w:right="0" w:hanging="0"/>
        <w:jc w:val="center"/>
        <w:rPr>
          <w:rFonts w:ascii="Times New Roman;Times;serif" w:hAnsi="Times New Roman;Times;serif"/>
          <w:b/>
          <w:sz w:val="20"/>
        </w:rPr>
      </w:pPr>
      <w:bookmarkStart w:id="192" w:name="COMPREHENSIVELOSSINCOME_515700"/>
      <w:bookmarkEnd w:id="192"/>
      <w:r>
        <w:rPr>
          <w:rFonts w:ascii="Times New Roman;Times;serif" w:hAnsi="Times New Roman;Times;serif"/>
          <w:b/>
          <w:sz w:val="20"/>
        </w:rPr>
        <w:t>CONSOLIDATED STATEMENTS OF OPERATIONS 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Normal"/>
        <w:bidi w:val="0"/>
        <w:spacing w:before="0" w:after="0"/>
        <w:jc w:val="left"/>
        <w:rPr>
          <w:sz w:val="4"/>
          <w:szCs w:val="4"/>
        </w:rPr>
      </w:pPr>
      <w:r>
        <w:rPr>
          <w:sz w:val="4"/>
          <w:szCs w:val="4"/>
        </w:rPr>
      </w:r>
      <w:bookmarkStart w:id="193" w:name="Tc_Rk3UGQiipU-_6dTeikn8ug_40_0"/>
      <w:bookmarkStart w:id="194" w:name="Tc_Dnu4h_9Gn0GKGR6YLBskHA_38_0"/>
      <w:bookmarkStart w:id="195" w:name="Tc_xg76irvfHEi4jAMsafeA_Q_36_5"/>
      <w:bookmarkStart w:id="196" w:name="Tc_rmq9KHm-mU2W955jDRaO5w_36_2"/>
      <w:bookmarkStart w:id="197" w:name="Tc_3UqlcYcByUapv1s7otx3Mg_36_0"/>
      <w:bookmarkStart w:id="198" w:name="Tc_WmFpR7cPlk2Iag6cX3gz-Q_34_5"/>
      <w:bookmarkStart w:id="199" w:name="Tc_-Wse5NiLB0-fT2FJuqr2Yg_34_2"/>
      <w:bookmarkStart w:id="200" w:name="Tc_LBDH_1IUb0CrhQRwClE3jQ_34_0"/>
      <w:bookmarkStart w:id="201" w:name="Tc_8AQN0p_lpUayrA-9PXJbGg_32_5"/>
      <w:bookmarkStart w:id="202" w:name="Tc_4S8b9oa3ak6gP_x2DW8esw_32_2"/>
      <w:bookmarkStart w:id="203" w:name="Tc_lxQ4tqkxVUaWOvI3q5LbqQ_32_0"/>
      <w:bookmarkStart w:id="204" w:name="Tc_gS-OODVnT0CvYQ6P-9kuiQ_30_0"/>
      <w:bookmarkStart w:id="205" w:name="Tc_Y-EHpgJohUqKOmwhI797cQ_29_0"/>
      <w:bookmarkStart w:id="206" w:name="Tc_p9A8NwFyc0ScMJ2P-aUV5Q_27_0"/>
      <w:bookmarkStart w:id="207" w:name="Tc_I-GCax9bUkGW316o2zC_EQ_25_0"/>
      <w:bookmarkStart w:id="208" w:name="Tc_RCdwrT9EN06aUK8ayimhLw_23_0"/>
      <w:bookmarkStart w:id="209" w:name="Tc_0XzTQKmTIUmc-gl9gyV4lA_21_0"/>
      <w:bookmarkStart w:id="210" w:name="Tc_M0ay5MVUME2RkZ4ChYwJUw_20_0"/>
      <w:bookmarkStart w:id="211" w:name="Tc_qnQzQu915EiCiCX--VBdJg_19_0"/>
      <w:bookmarkStart w:id="212" w:name="Tc_nMfRtwAUSEq78zSidygJcA_18_0"/>
      <w:bookmarkStart w:id="213" w:name="Tc_tVKZM50u4EGGe-VqGx57gQ_16_0"/>
      <w:bookmarkStart w:id="214" w:name="Tc_Poqmx9-ei0eWPDu9HYnXjg_13_0"/>
      <w:bookmarkStart w:id="215" w:name="Tc_utQnlkuOqUajpKKykR_sxw_12_0"/>
      <w:bookmarkStart w:id="216" w:name="Tc_pgFAIIQVNEOsb6GH2t5tMw_11_0"/>
      <w:bookmarkStart w:id="217" w:name="Tc_ZDd-lM8-iEuZW73VG73OyQ_10_0"/>
      <w:bookmarkStart w:id="218" w:name="Tc_Phll3bgDV0apmcHExFpXEA_9_0"/>
      <w:bookmarkStart w:id="219" w:name="Tc_EceF_IMuKkuFk8TSp0FL8Q_8_0"/>
      <w:bookmarkStart w:id="220" w:name="Tc_GkVz-NdYo0mqlUqSIYQY2Q_7_0"/>
      <w:bookmarkStart w:id="221" w:name="Tc_blZNqBZF8kWPTqnxMEPolQ_5_0"/>
      <w:bookmarkStart w:id="222" w:name="Tc_2Yd5RaKvkEiuOLi6vKuQiw_4_5"/>
      <w:bookmarkStart w:id="223" w:name="Tc_J6esMQv8uEiN9qXvsredCA_4_2"/>
      <w:bookmarkStart w:id="224" w:name="Tc_NTxrmTbGNk2LLyLDBOalOw_4_0"/>
      <w:bookmarkStart w:id="225" w:name="Tc_n-qYB8rAzEap028i9eieyQ_3_0"/>
      <w:bookmarkStart w:id="226" w:name="Tc_1RjwStwLYEmkocZNcZIcXw_2_5"/>
      <w:bookmarkStart w:id="227" w:name="Tc_OsvUNV6520GMbNX2dUtIpQ_2_2"/>
      <w:bookmarkStart w:id="228" w:name="Tc_IrK4FuLJ8ka1Mccoi4wBgQ_1_2"/>
      <w:bookmarkStart w:id="229" w:name="_81e64db5_f823_4789_8178_b3d483da31b9"/>
      <w:bookmarkStart w:id="230" w:name="Tc_Rk3UGQiipU-_6dTeikn8ug_40_0"/>
      <w:bookmarkStart w:id="231" w:name="Tc_Dnu4h_9Gn0GKGR6YLBskHA_38_0"/>
      <w:bookmarkStart w:id="232" w:name="Tc_xg76irvfHEi4jAMsafeA_Q_36_5"/>
      <w:bookmarkStart w:id="233" w:name="Tc_rmq9KHm-mU2W955jDRaO5w_36_2"/>
      <w:bookmarkStart w:id="234" w:name="Tc_3UqlcYcByUapv1s7otx3Mg_36_0"/>
      <w:bookmarkStart w:id="235" w:name="Tc_WmFpR7cPlk2Iag6cX3gz-Q_34_5"/>
      <w:bookmarkStart w:id="236" w:name="Tc_-Wse5NiLB0-fT2FJuqr2Yg_34_2"/>
      <w:bookmarkStart w:id="237" w:name="Tc_LBDH_1IUb0CrhQRwClE3jQ_34_0"/>
      <w:bookmarkStart w:id="238" w:name="Tc_8AQN0p_lpUayrA-9PXJbGg_32_5"/>
      <w:bookmarkStart w:id="239" w:name="Tc_4S8b9oa3ak6gP_x2DW8esw_32_2"/>
      <w:bookmarkStart w:id="240" w:name="Tc_lxQ4tqkxVUaWOvI3q5LbqQ_32_0"/>
      <w:bookmarkStart w:id="241" w:name="Tc_gS-OODVnT0CvYQ6P-9kuiQ_30_0"/>
      <w:bookmarkStart w:id="242" w:name="Tc_Y-EHpgJohUqKOmwhI797cQ_29_0"/>
      <w:bookmarkStart w:id="243" w:name="Tc_p9A8NwFyc0ScMJ2P-aUV5Q_27_0"/>
      <w:bookmarkStart w:id="244" w:name="Tc_I-GCax9bUkGW316o2zC_EQ_25_0"/>
      <w:bookmarkStart w:id="245" w:name="Tc_RCdwrT9EN06aUK8ayimhLw_23_0"/>
      <w:bookmarkStart w:id="246" w:name="Tc_0XzTQKmTIUmc-gl9gyV4lA_21_0"/>
      <w:bookmarkStart w:id="247" w:name="Tc_M0ay5MVUME2RkZ4ChYwJUw_20_0"/>
      <w:bookmarkStart w:id="248" w:name="Tc_qnQzQu915EiCiCX--VBdJg_19_0"/>
      <w:bookmarkStart w:id="249" w:name="Tc_nMfRtwAUSEq78zSidygJcA_18_0"/>
      <w:bookmarkStart w:id="250" w:name="Tc_tVKZM50u4EGGe-VqGx57gQ_16_0"/>
      <w:bookmarkStart w:id="251" w:name="Tc_Poqmx9-ei0eWPDu9HYnXjg_13_0"/>
      <w:bookmarkStart w:id="252" w:name="Tc_utQnlkuOqUajpKKykR_sxw_12_0"/>
      <w:bookmarkStart w:id="253" w:name="Tc_pgFAIIQVNEOsb6GH2t5tMw_11_0"/>
      <w:bookmarkStart w:id="254" w:name="Tc_ZDd-lM8-iEuZW73VG73OyQ_10_0"/>
      <w:bookmarkStart w:id="255" w:name="Tc_Phll3bgDV0apmcHExFpXEA_9_0"/>
      <w:bookmarkStart w:id="256" w:name="Tc_EceF_IMuKkuFk8TSp0FL8Q_8_0"/>
      <w:bookmarkStart w:id="257" w:name="Tc_GkVz-NdYo0mqlUqSIYQY2Q_7_0"/>
      <w:bookmarkStart w:id="258" w:name="Tc_blZNqBZF8kWPTqnxMEPolQ_5_0"/>
      <w:bookmarkStart w:id="259" w:name="Tc_2Yd5RaKvkEiuOLi6vKuQiw_4_5"/>
      <w:bookmarkStart w:id="260" w:name="Tc_J6esMQv8uEiN9qXvsredCA_4_2"/>
      <w:bookmarkStart w:id="261" w:name="Tc_NTxrmTbGNk2LLyLDBOalOw_4_0"/>
      <w:bookmarkStart w:id="262" w:name="Tc_n-qYB8rAzEap028i9eieyQ_3_0"/>
      <w:bookmarkStart w:id="263" w:name="Tc_1RjwStwLYEmkocZNcZIcXw_2_5"/>
      <w:bookmarkStart w:id="264" w:name="Tc_OsvUNV6520GMbNX2dUtIpQ_2_2"/>
      <w:bookmarkStart w:id="265" w:name="Tc_IrK4FuLJ8ka1Mccoi4wBgQ_1_2"/>
      <w:bookmarkStart w:id="266" w:name="_81e64db5_f823_4789_8178_b3d483da31b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8983" w:type="dxa"/>
        <w:jc w:val="left"/>
        <w:tblInd w:w="0" w:type="dxa"/>
        <w:tblLayout w:type="fixed"/>
        <w:tblCellMar>
          <w:top w:w="0" w:type="dxa"/>
          <w:left w:w="0" w:type="dxa"/>
          <w:bottom w:w="0" w:type="dxa"/>
          <w:right w:w="0" w:type="dxa"/>
        </w:tblCellMar>
      </w:tblPr>
      <w:tblGrid>
        <w:gridCol w:w="6076"/>
        <w:gridCol w:w="146"/>
        <w:gridCol w:w="196"/>
        <w:gridCol w:w="916"/>
        <w:gridCol w:w="346"/>
        <w:gridCol w:w="196"/>
        <w:gridCol w:w="916"/>
        <w:gridCol w:w="19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58260" cy="175260"/>
                      <wp:effectExtent l="0" t="0" r="0" b="0"/>
                      <wp:wrapNone/>
                      <wp:docPr id="53" name="Frame53"/>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2710" cy="175260"/>
                      <wp:effectExtent l="0" t="0" r="0" b="0"/>
                      <wp:wrapNone/>
                      <wp:docPr id="54" name="Frame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81660" cy="175260"/>
                      <wp:effectExtent l="0" t="0" r="0" b="0"/>
                      <wp:wrapNone/>
                      <wp:docPr id="56" name="Frame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81660" cy="175260"/>
                      <wp:effectExtent l="0" t="0" r="0" b="0"/>
                      <wp:wrapNone/>
                      <wp:docPr id="59" name="Frame5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1285" cy="175260"/>
                      <wp:effectExtent l="0" t="0" r="0" b="0"/>
                      <wp:wrapNone/>
                      <wp:docPr id="60" name="Frame6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1"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0"/>
              <w:ind w:left="0" w:right="0" w:hanging="0"/>
              <w:jc w:val="center"/>
              <w:rPr/>
            </w:pPr>
            <w:r>
              <w:rPr/>
              <w:t> </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53,479</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74,154</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20,675</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9,946</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78,703</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(4,549)</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unrealized income (loss) on foreign exchange rate translation</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(4,690)</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loss per share of common stock</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loss per share of common stock</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31,016,792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30,879,855</w:t>
            </w:r>
          </w:p>
        </w:tc>
        <w:tc>
          <w:tcPr>
            <w:tcW w:w="1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31,016,792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30,879,855</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7" w:name="_784e21c9_70e7_4e48_b1dd_16ff14d68b88"/>
      <w:bookmarkEnd w:id="267"/>
      <w:r>
        <w:rPr>
          <w:rFonts w:ascii="Times New Roman;Times;serif" w:hAnsi="Times New Roman;Times;serif"/>
          <w:b/>
          <w:sz w:val="20"/>
        </w:rPr>
        <w:t>DAWSON GEOPHYSICAL COMPANY</w:t>
      </w:r>
    </w:p>
    <w:p>
      <w:pPr>
        <w:pStyle w:val="TextBody"/>
        <w:bidi w:val="0"/>
        <w:spacing w:before="0" w:after="0"/>
        <w:ind w:left="0" w:right="0" w:hanging="0"/>
        <w:jc w:val="center"/>
        <w:rPr>
          <w:rFonts w:ascii="Times New Roman;Times;serif" w:hAnsi="Times New Roman;Times;serif"/>
          <w:b/>
          <w:sz w:val="20"/>
        </w:rPr>
      </w:pPr>
      <w:bookmarkStart w:id="268" w:name="STOCKHOLDERSEQUITY_211555"/>
      <w:bookmarkEnd w:id="268"/>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9" w:name="Tc_vYzs-j-rBE-m_Sg2UC67lw_22_16"/>
      <w:bookmarkStart w:id="270" w:name="Tc_LQlnlCwick2yjhk1Vrwxuw_22_13"/>
      <w:bookmarkStart w:id="271" w:name="Tc_hEpIacJ7LUCCiWzLPRHCNg_22_10"/>
      <w:bookmarkStart w:id="272" w:name="Tc_udbn0tpgoUCgsP5VlIbRJA_22_7"/>
      <w:bookmarkStart w:id="273" w:name="Tc_Z5vY9CrO9E2mtS265gKPrA_22_4"/>
      <w:bookmarkStart w:id="274" w:name="Tc_Xt8U3G2S70qmdjdg_CLlYQ_22_0"/>
      <w:bookmarkStart w:id="275" w:name="Tc_hEtpq1UCjU2v2trymcZg0A_21_5"/>
      <w:bookmarkStart w:id="276" w:name="Tc_5OlI8SPeEEWnrjPJBsAcTA_21_0"/>
      <w:bookmarkStart w:id="277" w:name="Tc_rqupf6rRxUmi1saQAQHtwQ_20_0"/>
      <w:bookmarkStart w:id="278" w:name="Tc_LUXQ1halDE2ZOxc_Tm2DEg_19_0"/>
      <w:bookmarkStart w:id="279" w:name="Tc_DqOcSuLsR0mZzzeN4mk_-w_18_0"/>
      <w:bookmarkStart w:id="280" w:name="Tc_HoFkDMkRX0uqOu6lFBR1ig_17_14"/>
      <w:bookmarkStart w:id="281" w:name="Tc_ZeCmhwV2sU6w5KFlyu6Y0g_17_0"/>
      <w:bookmarkStart w:id="282" w:name="Tc_PqvmmDtFbUmkQNu_udtwTA_16_0"/>
      <w:bookmarkStart w:id="283" w:name="Tc_PTPba2ITvkOaGr7vkDGeYg_15_0"/>
      <w:bookmarkStart w:id="284" w:name="Tc_R6lW2aBCg06WO_sFJETucA_14_16"/>
      <w:bookmarkStart w:id="285" w:name="Tc__2xYLoMbrU2Z6CcGfhwCBQ_14_13"/>
      <w:bookmarkStart w:id="286" w:name="Tc_4C6KkQwjnku2R1XmrWurpw_14_10"/>
      <w:bookmarkStart w:id="287" w:name="Tc_sJlWr3Qt1kiGOPpsedJ9dQ_14_7"/>
      <w:bookmarkStart w:id="288" w:name="Tc_3YhkXnZ5LkKFXR1kUsEHPg_14_4"/>
      <w:bookmarkStart w:id="289" w:name="Tc_xMD5nXutu0utffKgIvU14A_14_0"/>
      <w:bookmarkStart w:id="290" w:name="Tc_O1aWSGfahUCpf4NKuIWv1Q_13_0"/>
      <w:bookmarkStart w:id="291" w:name="Tc_w7ow5sU_A0CyFyi1ipqDYg_12_5"/>
      <w:bookmarkStart w:id="292" w:name="Tc_CKtfw0Gl-UqUEIG6TDn0DQ_12_0"/>
      <w:bookmarkStart w:id="293" w:name="Tc_T6wy3R2-5UKzc0zN41Q2ig_11_0"/>
      <w:bookmarkStart w:id="294" w:name="Tc_inpabRpd-ECmcK33Z1tJow_10_0"/>
      <w:bookmarkStart w:id="295" w:name="Tc_nr7Zz9u4JEGbTEL_fpfHjA_9_0"/>
      <w:bookmarkStart w:id="296" w:name="Tc_oL9XrXPKWUuQt_K3JZ4Btg_8_14"/>
      <w:bookmarkStart w:id="297" w:name="Tc_40m6F3frJEK3HJ0S7twlzA_8_0"/>
      <w:bookmarkStart w:id="298" w:name="Tc_KJQNK-e3X0-rt0DFePXDBw_7_0"/>
      <w:bookmarkStart w:id="299" w:name="Tc_g6PA8OvaiUSyq_YAcdUP_A_6_0"/>
      <w:bookmarkStart w:id="300" w:name="Tc_1zHj9w9Mc0apI-nw67p7-Q_5_16"/>
      <w:bookmarkStart w:id="301" w:name="Tc_RWks49gAJEW_QHJrNDpwQg_5_13"/>
      <w:bookmarkStart w:id="302" w:name="Tc_UUTHwTb9ok-rpPjuEK1mlA_5_10"/>
      <w:bookmarkStart w:id="303" w:name="Tc_PEuPWqqY7ECYc4abCvo0lA_5_7"/>
      <w:bookmarkStart w:id="304" w:name="Tc_03TAdmhSFUGC3DAI1-Bj8g_5_4"/>
      <w:bookmarkStart w:id="305" w:name="Tc_ugXHevZjy0afVQ48BD0WDw_5_0"/>
      <w:bookmarkStart w:id="306" w:name="Tc_OsBvrgj_xkiVCDur2xcoLg_4_16"/>
      <w:bookmarkStart w:id="307" w:name="Tc_WsiDbcZdGke717DoiVaP6A_4_13"/>
      <w:bookmarkStart w:id="308" w:name="Tc_RafKXAGFAEOEqE2VoU5tRg_4_10"/>
      <w:bookmarkStart w:id="309" w:name="Tc_M9ORsUxHI0eYFJRcNSHUKQ_4_7"/>
      <w:bookmarkStart w:id="310" w:name="Tc_38Ha7sMae068HRcIDv-e9A_4_4"/>
      <w:bookmarkStart w:id="311" w:name="Tc_ZiaupV-X6UaV4sFx26Wu7Q_4_2"/>
      <w:bookmarkStart w:id="312" w:name="Tc_shZepfDKIUCX9gtjjtET5w_3_13"/>
      <w:bookmarkStart w:id="313" w:name="Tc_fPQf81IFkkyYXMh_dc1wSw_3_10"/>
      <w:bookmarkStart w:id="314" w:name="Tc_EGWwbuUh-06LszzMaaQDMw_3_7"/>
      <w:bookmarkStart w:id="315" w:name="Tc_PFxQlscZmUe6wKL96vPuOw_3_2"/>
      <w:bookmarkStart w:id="316" w:name="Tc_UMymL9Zf20Womx6x9gSOfw_2_13"/>
      <w:bookmarkStart w:id="317" w:name="Tc_sP2subwPb0Gwb1b9zYF6UQ_2_7"/>
      <w:bookmarkStart w:id="318" w:name="Tc_VNThrIDtqkKrue5TpIrLag_2_2"/>
      <w:bookmarkStart w:id="319" w:name="Tc_YW7V_LzczUSw6B8xFUZUvA_1_13"/>
      <w:bookmarkStart w:id="320" w:name="_896de1c0_1aff_4bd6_8d5c_f376bda31a7a"/>
      <w:bookmarkStart w:id="321" w:name="Tc_vYzs-j-rBE-m_Sg2UC67lw_22_16"/>
      <w:bookmarkStart w:id="322" w:name="Tc_LQlnlCwick2yjhk1Vrwxuw_22_13"/>
      <w:bookmarkStart w:id="323" w:name="Tc_hEpIacJ7LUCCiWzLPRHCNg_22_10"/>
      <w:bookmarkStart w:id="324" w:name="Tc_udbn0tpgoUCgsP5VlIbRJA_22_7"/>
      <w:bookmarkStart w:id="325" w:name="Tc_Z5vY9CrO9E2mtS265gKPrA_22_4"/>
      <w:bookmarkStart w:id="326" w:name="Tc_Xt8U3G2S70qmdjdg_CLlYQ_22_0"/>
      <w:bookmarkStart w:id="327" w:name="Tc_hEtpq1UCjU2v2trymcZg0A_21_5"/>
      <w:bookmarkStart w:id="328" w:name="Tc_5OlI8SPeEEWnrjPJBsAcTA_21_0"/>
      <w:bookmarkStart w:id="329" w:name="Tc_rqupf6rRxUmi1saQAQHtwQ_20_0"/>
      <w:bookmarkStart w:id="330" w:name="Tc_LUXQ1halDE2ZOxc_Tm2DEg_19_0"/>
      <w:bookmarkStart w:id="331" w:name="Tc_DqOcSuLsR0mZzzeN4mk_-w_18_0"/>
      <w:bookmarkStart w:id="332" w:name="Tc_HoFkDMkRX0uqOu6lFBR1ig_17_14"/>
      <w:bookmarkStart w:id="333" w:name="Tc_ZeCmhwV2sU6w5KFlyu6Y0g_17_0"/>
      <w:bookmarkStart w:id="334" w:name="Tc_PqvmmDtFbUmkQNu_udtwTA_16_0"/>
      <w:bookmarkStart w:id="335" w:name="Tc_PTPba2ITvkOaGr7vkDGeYg_15_0"/>
      <w:bookmarkStart w:id="336" w:name="Tc_R6lW2aBCg06WO_sFJETucA_14_16"/>
      <w:bookmarkStart w:id="337" w:name="Tc__2xYLoMbrU2Z6CcGfhwCBQ_14_13"/>
      <w:bookmarkStart w:id="338" w:name="Tc_4C6KkQwjnku2R1XmrWurpw_14_10"/>
      <w:bookmarkStart w:id="339" w:name="Tc_sJlWr3Qt1kiGOPpsedJ9dQ_14_7"/>
      <w:bookmarkStart w:id="340" w:name="Tc_3YhkXnZ5LkKFXR1kUsEHPg_14_4"/>
      <w:bookmarkStart w:id="341" w:name="Tc_xMD5nXutu0utffKgIvU14A_14_0"/>
      <w:bookmarkStart w:id="342" w:name="Tc_O1aWSGfahUCpf4NKuIWv1Q_13_0"/>
      <w:bookmarkStart w:id="343" w:name="Tc_w7ow5sU_A0CyFyi1ipqDYg_12_5"/>
      <w:bookmarkStart w:id="344" w:name="Tc_CKtfw0Gl-UqUEIG6TDn0DQ_12_0"/>
      <w:bookmarkStart w:id="345" w:name="Tc_T6wy3R2-5UKzc0zN41Q2ig_11_0"/>
      <w:bookmarkStart w:id="346" w:name="Tc_inpabRpd-ECmcK33Z1tJow_10_0"/>
      <w:bookmarkStart w:id="347" w:name="Tc_nr7Zz9u4JEGbTEL_fpfHjA_9_0"/>
      <w:bookmarkStart w:id="348" w:name="Tc_oL9XrXPKWUuQt_K3JZ4Btg_8_14"/>
      <w:bookmarkStart w:id="349" w:name="Tc_40m6F3frJEK3HJ0S7twlzA_8_0"/>
      <w:bookmarkStart w:id="350" w:name="Tc_KJQNK-e3X0-rt0DFePXDBw_7_0"/>
      <w:bookmarkStart w:id="351" w:name="Tc_g6PA8OvaiUSyq_YAcdUP_A_6_0"/>
      <w:bookmarkStart w:id="352" w:name="Tc_1zHj9w9Mc0apI-nw67p7-Q_5_16"/>
      <w:bookmarkStart w:id="353" w:name="Tc_RWks49gAJEW_QHJrNDpwQg_5_13"/>
      <w:bookmarkStart w:id="354" w:name="Tc_UUTHwTb9ok-rpPjuEK1mlA_5_10"/>
      <w:bookmarkStart w:id="355" w:name="Tc_PEuPWqqY7ECYc4abCvo0lA_5_7"/>
      <w:bookmarkStart w:id="356" w:name="Tc_03TAdmhSFUGC3DAI1-Bj8g_5_4"/>
      <w:bookmarkStart w:id="357" w:name="Tc_ugXHevZjy0afVQ48BD0WDw_5_0"/>
      <w:bookmarkStart w:id="358" w:name="Tc_OsBvrgj_xkiVCDur2xcoLg_4_16"/>
      <w:bookmarkStart w:id="359" w:name="Tc_WsiDbcZdGke717DoiVaP6A_4_13"/>
      <w:bookmarkStart w:id="360" w:name="Tc_RafKXAGFAEOEqE2VoU5tRg_4_10"/>
      <w:bookmarkStart w:id="361" w:name="Tc_M9ORsUxHI0eYFJRcNSHUKQ_4_7"/>
      <w:bookmarkStart w:id="362" w:name="Tc_38Ha7sMae068HRcIDv-e9A_4_4"/>
      <w:bookmarkStart w:id="363" w:name="Tc_ZiaupV-X6UaV4sFx26Wu7Q_4_2"/>
      <w:bookmarkStart w:id="364" w:name="Tc_shZepfDKIUCX9gtjjtET5w_3_13"/>
      <w:bookmarkStart w:id="365" w:name="Tc_fPQf81IFkkyYXMh_dc1wSw_3_10"/>
      <w:bookmarkStart w:id="366" w:name="Tc_EGWwbuUh-06LszzMaaQDMw_3_7"/>
      <w:bookmarkStart w:id="367" w:name="Tc_PFxQlscZmUe6wKL96vPuOw_3_2"/>
      <w:bookmarkStart w:id="368" w:name="Tc_UMymL9Zf20Womx6x9gSOfw_2_13"/>
      <w:bookmarkStart w:id="369" w:name="Tc_sP2subwPb0Gwb1b9zYF6UQ_2_7"/>
      <w:bookmarkStart w:id="370" w:name="Tc_VNThrIDtqkKrue5TpIrLag_2_2"/>
      <w:bookmarkStart w:id="371" w:name="Tc_YW7V_LzczUSw6B8xFUZUvA_1_13"/>
      <w:bookmarkStart w:id="372" w:name="_896de1c0_1aff_4bd6_8d5c_f376bda31a7a"/>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tbl>
      <w:tblPr>
        <w:tblW w:w="10205" w:type="dxa"/>
        <w:jc w:val="left"/>
        <w:tblInd w:w="0" w:type="dxa"/>
        <w:tblLayout w:type="fixed"/>
        <w:tblCellMar>
          <w:top w:w="0" w:type="dxa"/>
          <w:left w:w="0" w:type="dxa"/>
          <w:bottom w:w="0" w:type="dxa"/>
          <w:right w:w="0" w:type="dxa"/>
        </w:tblCellMar>
      </w:tblPr>
      <w:tblGrid>
        <w:gridCol w:w="2580"/>
        <w:gridCol w:w="109"/>
        <w:gridCol w:w="937"/>
        <w:gridCol w:w="346"/>
        <w:gridCol w:w="236"/>
        <w:gridCol w:w="455"/>
        <w:gridCol w:w="346"/>
        <w:gridCol w:w="196"/>
        <w:gridCol w:w="691"/>
        <w:gridCol w:w="346"/>
        <w:gridCol w:w="217"/>
        <w:gridCol w:w="834"/>
        <w:gridCol w:w="346"/>
        <w:gridCol w:w="310"/>
        <w:gridCol w:w="906"/>
        <w:gridCol w:w="346"/>
        <w:gridCol w:w="196"/>
        <w:gridCol w:w="615"/>
        <w:gridCol w:w="193"/>
      </w:tblGrid>
      <w:tr>
        <w:trPr/>
        <w:tc>
          <w:tcPr>
            <w:tcW w:w="2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38300" cy="175260"/>
                      <wp:effectExtent l="0" t="0" r="0" b="0"/>
                      <wp:wrapNone/>
                      <wp:docPr id="61" name="Frame61"/>
                      <a:graphic xmlns:a="http://schemas.openxmlformats.org/drawingml/2006/main">
                        <a:graphicData uri="http://schemas.microsoft.com/office/word/2010/wordprocessingShape">
                          <wps:wsp>
                            <wps:cNvSpPr txBox="1"/>
                            <wps:spPr>
                              <a:xfrm>
                                <a:off x="0" y="0"/>
                                <a:ext cx="163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4995" cy="175260"/>
                      <wp:effectExtent l="0" t="0" r="0" b="0"/>
                      <wp:wrapNone/>
                      <wp:docPr id="63" name="Frame63"/>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9860" cy="175260"/>
                      <wp:effectExtent l="0" t="0" r="0" b="0"/>
                      <wp:wrapNone/>
                      <wp:docPr id="65" name="Frame6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8925" cy="175260"/>
                      <wp:effectExtent l="0" t="0" r="0" b="0"/>
                      <wp:wrapNone/>
                      <wp:docPr id="66" name="Frame66"/>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8785" cy="175260"/>
                      <wp:effectExtent l="0" t="0" r="0" b="0"/>
                      <wp:wrapNone/>
                      <wp:docPr id="69" name="Frame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7795" cy="175260"/>
                      <wp:effectExtent l="0" t="0" r="0" b="0"/>
                      <wp:wrapNone/>
                      <wp:docPr id="71" name="Frame7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29590" cy="175260"/>
                      <wp:effectExtent l="0" t="0" r="0" b="0"/>
                      <wp:wrapNone/>
                      <wp:docPr id="72" name="Frame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6850" cy="175260"/>
                      <wp:effectExtent l="0" t="0" r="0" b="0"/>
                      <wp:wrapNone/>
                      <wp:docPr id="74" name="Frame7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5310" cy="175260"/>
                      <wp:effectExtent l="0" t="0" r="0" b="0"/>
                      <wp:wrapNone/>
                      <wp:docPr id="75" name="Frame7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0525" cy="175260"/>
                      <wp:effectExtent l="0" t="0" r="0" b="0"/>
                      <wp:wrapNone/>
                      <wp:docPr id="78" name="Frame7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2555" cy="175260"/>
                      <wp:effectExtent l="0" t="0" r="0" b="0"/>
                      <wp:wrapNone/>
                      <wp:docPr id="79" name="Frame7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left"/>
              <w:rPr/>
            </w:pPr>
            <w:r>
              <w:rPr/>
              <w:t>​</w:t>
            </w:r>
          </w:p>
        </w:tc>
        <w:tc>
          <w:tcPr>
            <w:tcW w:w="69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3" w:type="dxa"/>
            <w:tcBorders/>
            <w:vAlign w:val="center"/>
          </w:tcPr>
          <w:p>
            <w:pPr>
              <w:pStyle w:val="TableContents"/>
              <w:bidi w:val="0"/>
              <w:spacing w:before="0" w:after="1"/>
              <w:ind w:left="0" w:right="0" w:hanging="0"/>
              <w:jc w:val="left"/>
              <w:rPr/>
            </w:pPr>
            <w:r>
              <w:rPr/>
              <w:t> </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Balance January 1, 2024 </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30,812,329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156,678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(123,640)</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31,434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(4,119)</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(4,119)</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foreign exchange rate translation</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lef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(9,860)</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(9,860)</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as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210,510</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exchanged for taxes on stock-based compensation</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(39,402)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30,983,437 </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157,073</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(137,619)</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17,281</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(1,941)</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center"/>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(1,941)</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income on foreign exchange rate translation</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center"/>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center"/>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center"/>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as compensation</w:t>
            </w:r>
          </w:p>
        </w:tc>
        <w:tc>
          <w:tcPr>
            <w:tcW w:w="109"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99,200 </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center"/>
              <w:rPr/>
            </w:pPr>
            <w:r>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93" w:type="dxa"/>
            <w:tcBorders/>
            <w:vAlign w:val="center"/>
          </w:tcPr>
          <w:p>
            <w:pPr>
              <w:pStyle w:val="TableContents"/>
              <w:bidi w:val="0"/>
              <w:spacing w:before="0" w:after="1"/>
              <w:ind w:left="0" w:right="0" w:hanging="0"/>
              <w:jc w:val="left"/>
              <w:rPr/>
            </w:pPr>
            <w:r>
              <w:rPr/>
              <w:t>​</w:t>
            </w:r>
          </w:p>
        </w:tc>
      </w:tr>
      <w:tr>
        <w:trPr/>
        <w:tc>
          <w:tcPr>
            <w:tcW w:w="2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exchanged for taxes on 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(29,797)</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25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2025</w:t>
            </w:r>
          </w:p>
        </w:tc>
        <w:tc>
          <w:tcPr>
            <w:tcW w:w="109" w:type="dxa"/>
            <w:tcBorders/>
            <w:vAlign w:val="center"/>
          </w:tcPr>
          <w:p>
            <w:pPr>
              <w:pStyle w:val="TableContents"/>
              <w:bidi w:val="0"/>
              <w:spacing w:before="0" w:after="1"/>
              <w:ind w:left="0" w:right="0" w:hanging="0"/>
              <w:jc w:val="left"/>
              <w:rPr/>
            </w:pPr>
            <w:r>
              <w:rPr/>
              <w:t>​</w:t>
            </w:r>
          </w:p>
        </w:tc>
        <w:tc>
          <w:tcPr>
            <w:tcW w:w="9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31,052,840 </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157,154</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(139,560)</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15,808</w:t>
            </w:r>
          </w:p>
        </w:tc>
        <w:tc>
          <w:tcPr>
            <w:tcW w:w="193" w:type="dxa"/>
            <w:tcBorders/>
            <w:vAlign w:val="center"/>
          </w:tcPr>
          <w:p>
            <w:pPr>
              <w:pStyle w:val="TableContents"/>
              <w:bidi w:val="0"/>
              <w:spacing w:before="0" w:after="1"/>
              <w:ind w:left="0" w:right="0" w:hanging="0"/>
              <w:jc w:val="left"/>
              <w:rPr/>
            </w:pPr>
            <w:r>
              <w:rPr/>
              <w:t>​</w:t>
            </w:r>
          </w:p>
        </w:tc>
      </w:tr>
    </w:tbl>
    <w:p>
      <w:pPr>
        <w:pStyle w:val="TextBody"/>
        <w:bidi w:val="0"/>
        <w:spacing w:lineRule="auto" w:line="285"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lineRule="auto" w:line="314" w:before="0" w:after="12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20"/>
        </w:rPr>
      </w:pPr>
      <w:bookmarkStart w:id="373" w:name="_127bd63c_bf6b_4ef2_bce2_e60243729720"/>
      <w:bookmarkEnd w:id="373"/>
      <w:r>
        <w:rPr>
          <w:rFonts w:ascii="Times New Roman;Times;serif" w:hAnsi="Times New Roman;Times;serif"/>
          <w:b/>
          <w:sz w:val="20"/>
        </w:rPr>
        <w:t>DAWSON GEOPHYSICAL COMPANY</w:t>
      </w:r>
    </w:p>
    <w:p>
      <w:pPr>
        <w:pStyle w:val="TextBody"/>
        <w:bidi w:val="0"/>
        <w:spacing w:before="0" w:after="0"/>
        <w:ind w:left="0" w:right="0" w:hanging="0"/>
        <w:jc w:val="center"/>
        <w:rPr>
          <w:rFonts w:ascii="Times New Roman;Times;serif" w:hAnsi="Times New Roman;Times;serif"/>
          <w:b/>
          <w:sz w:val="20"/>
        </w:rPr>
      </w:pPr>
      <w:bookmarkStart w:id="374" w:name="STATEMENTSOFCASHFLOWS_755369"/>
      <w:bookmarkEnd w:id="374"/>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Normal"/>
        <w:bidi w:val="0"/>
        <w:spacing w:before="0" w:after="0"/>
        <w:jc w:val="left"/>
        <w:rPr>
          <w:sz w:val="4"/>
          <w:szCs w:val="4"/>
        </w:rPr>
      </w:pPr>
      <w:r>
        <w:rPr>
          <w:sz w:val="4"/>
          <w:szCs w:val="4"/>
        </w:rPr>
      </w:r>
      <w:bookmarkStart w:id="375" w:name="Tc_BBLN0OaE3UKrMLWJjcWvzQ_62_5"/>
      <w:bookmarkStart w:id="376" w:name="Tc_T_fXNjji8ku0pQ_G9PnJlQ_62_2"/>
      <w:bookmarkStart w:id="377" w:name="Tc_MWwUHHP8KkOMA0mHwnLZZA_62_0"/>
      <w:bookmarkStart w:id="378" w:name="Tc_kR7bvdIsS0eO_pUe6bKTQA_61_6"/>
      <w:bookmarkStart w:id="379" w:name="Tc_dLIsjC16kEeerA91msz7nA_61_5"/>
      <w:bookmarkStart w:id="380" w:name="Tc_D2V3ZdlCXUydx3EUZP9G8w_61_2"/>
      <w:bookmarkStart w:id="381" w:name="Tc_ui8HLwDUN0mqrsK51mJpUQ_61_0"/>
      <w:bookmarkStart w:id="382" w:name="Tc_VN4ZfVi-Z0OmAwHc6n6G5A_60_5"/>
      <w:bookmarkStart w:id="383" w:name="Tc_EtADiMH_2EW2ulncUwkZcw_60_2"/>
      <w:bookmarkStart w:id="384" w:name="Tc_Nx6WBTycVkWzMw5ZBewaKA_60_0"/>
      <w:bookmarkStart w:id="385" w:name="Tc_eVDAVdQrDkOzMS9jq30_9g_59_5"/>
      <w:bookmarkStart w:id="386" w:name="Tc_sy9HNqtk60qiR3Bg23YUEA_59_2"/>
      <w:bookmarkStart w:id="387" w:name="Tc_AWc0VIC0G0SIj4lmi7pLJw_59_0"/>
      <w:bookmarkStart w:id="388" w:name="Tc_Ip2GVnjHlUaOcyV3U-CzzA_58_5"/>
      <w:bookmarkStart w:id="389" w:name="Tc_R9YqVCaGA0eQUrkGjnziUg_58_3"/>
      <w:bookmarkStart w:id="390" w:name="Tc_Q4LmdZm_e0e60Bs_mlSM-g_58_2"/>
      <w:bookmarkStart w:id="391" w:name="Tc_cqz2N1kSyUiA9vRbGbA5qQ_58_0"/>
      <w:bookmarkStart w:id="392" w:name="Tc_Az8ec0vu4UOqFDga52Xvbg_57_0"/>
      <w:bookmarkStart w:id="393" w:name="Tc_M9AiAfzXskKONurjiRDwoQ_55_5"/>
      <w:bookmarkStart w:id="394" w:name="Tc_to-o1vbUbkuqjs58uwpZow_55_2"/>
      <w:bookmarkStart w:id="395" w:name="Tc_6rhu5uULUU6wsfUjdVmRCA_55_0"/>
      <w:bookmarkStart w:id="396" w:name="Tc_DpvhwBQJuEqXdvfXvF-h8Q_54_5"/>
      <w:bookmarkStart w:id="397" w:name="Tc_NJpOwZ83zUGTskRFVDyIqw_54_2"/>
      <w:bookmarkStart w:id="398" w:name="Tc_DusF_-48EkKxxOSye7ykSw_54_0"/>
      <w:bookmarkStart w:id="399" w:name="Tc_A-0Yn_UsR0CS0V9uIOJUkg_53_5"/>
      <w:bookmarkStart w:id="400" w:name="Tc_EJnAo_Oi_kOjcMD61uDwHA_53_2"/>
      <w:bookmarkStart w:id="401" w:name="Tc_lWWRDc-IHkW0rYNa7VqZ9g_53_0"/>
      <w:bookmarkStart w:id="402" w:name="Tc_w9nwWX6yn0eDRL8AtOKmWw_52_0"/>
      <w:bookmarkStart w:id="403" w:name="Tc_zJlK_t3UY0mxDbVfWL74tQ_50_5"/>
      <w:bookmarkStart w:id="404" w:name="Tc_9uAXK0cONEaohsGJ81UCTg_50_2"/>
      <w:bookmarkStart w:id="405" w:name="Tc_2i97cDbDaEm0zu-jO-GgzA_50_0"/>
      <w:bookmarkStart w:id="406" w:name="Tc_jLPkkgkXvEWAhVBjNIv8fw_48_0"/>
      <w:bookmarkStart w:id="407" w:name="Tc_eey4BIBKLE-rtJtpVWDjkw_46_0"/>
      <w:bookmarkStart w:id="408" w:name="Tc_5NEd8Edp_Uii722NWIQDKA_44_0"/>
      <w:bookmarkStart w:id="409" w:name="Tc_fhPyIWGu4E-YxK0PcjeQmg_42_0"/>
      <w:bookmarkStart w:id="410" w:name="Tc_7KUb4e51PEKc7qoVk_a2qg_40_3"/>
      <w:bookmarkStart w:id="411" w:name="Tc_F9PYFTIgbECZSnRA7lNYbQ_40_0"/>
      <w:bookmarkStart w:id="412" w:name="Tc_o_ThLdMNHkuhk8DAf0GnUg_39_6"/>
      <w:bookmarkStart w:id="413" w:name="Tc_5P4TlQY0dkiwTPhph0VvSA_39_0"/>
      <w:bookmarkStart w:id="414" w:name="Tc_JDvb2zXUmUWS5GFIs3jaqQ_38_0"/>
      <w:bookmarkStart w:id="415" w:name="Tc_nqU2jHfhCEGT_PMYQ5Ztqg_37_6"/>
      <w:bookmarkStart w:id="416" w:name="Tc_Np_nkYkoLE6whSahQgnBnQ_37_0"/>
      <w:bookmarkStart w:id="417" w:name="Tc_teqQgAzSzUW27wmvCqirIA_36_6"/>
      <w:bookmarkStart w:id="418" w:name="Tc_Wu4SrUSNnUmVwSd4OdvkyA_36_0"/>
      <w:bookmarkStart w:id="419" w:name="Tc_uOhm_ksZ4kusNq-nJ62oGA_35_0"/>
      <w:bookmarkStart w:id="420" w:name="Tc_NTLKCpP1ZUOJwzvQ47VdZg_34_0"/>
      <w:bookmarkStart w:id="421" w:name="Tc_H1zT6n2PPUKOJAfn9Z4Ldw_33_0"/>
      <w:bookmarkStart w:id="422" w:name="Tc_ZqRmJpgdxk-tmeJBAAgOrA_31_0"/>
      <w:bookmarkStart w:id="423" w:name="Tc_4FPOk0bGG0ikTc1wWDnZtQ_29_6"/>
      <w:bookmarkStart w:id="424" w:name="Tc_PTywUR8JWk2ifqWm6K-9_w_29_0"/>
      <w:bookmarkStart w:id="425" w:name="Tc_fa_VcyKRMke0mpELoSK4cg_28_3"/>
      <w:bookmarkStart w:id="426" w:name="Tc_b12YoH4u00GkWjhH4URGEQ_28_0"/>
      <w:bookmarkStart w:id="427" w:name="Tc_bS7WfzGsP0OCLV6g3tdI_g_27_3"/>
      <w:bookmarkStart w:id="428" w:name="Tc_bNfoECZyYUydzFKhFLG6LQ_27_0"/>
      <w:bookmarkStart w:id="429" w:name="Tc_FNWif45C0UOO2qd8GCnn5w_26_0"/>
      <w:bookmarkStart w:id="430" w:name="Tc_yscYvP0ue0Kzxd_KSE73OQ_25_0"/>
      <w:bookmarkStart w:id="431" w:name="Tc_Pgr2DIIXhkaQxRSK_VCARA_24_0"/>
      <w:bookmarkStart w:id="432" w:name="Tc_ey7eEsmsCUKZ4xTSCKf9YQ_22_0"/>
      <w:bookmarkStart w:id="433" w:name="Tc_oK375dlidUery20I-rSQGQ_20_0"/>
      <w:bookmarkStart w:id="434" w:name="Tc_eqpHc6Mu2kK_9Ft1ltPlUw_19_0"/>
      <w:bookmarkStart w:id="435" w:name="Tc_mQ2AOtwMb06FrxavU66hCA_18_0"/>
      <w:bookmarkStart w:id="436" w:name="Tc_UQ_pwB9dGUyiKNrgK-VB9A_17_0"/>
      <w:bookmarkStart w:id="437" w:name="Tc_YIktfp_jPkOa3YAkK6_W4Q_16_0"/>
      <w:bookmarkStart w:id="438" w:name="Tc_SGEXnBXoyEOJswA9Ar-PXg_15_0"/>
      <w:bookmarkStart w:id="439" w:name="Tc_HdOyhJOVB0C6s5d9anS9Qw_14_0"/>
      <w:bookmarkStart w:id="440" w:name="Tc_FsH-3bL--0e8GtfGkZCdyQ_13_0"/>
      <w:bookmarkStart w:id="441" w:name="Tc_RIZLmdF3DkiJEbOigGsSsA_12_0"/>
      <w:bookmarkStart w:id="442" w:name="Tc_Y59hP8YSC0SjVNT33i-b3A_11_6"/>
      <w:bookmarkStart w:id="443" w:name="Tc_QHi0rA-K-kuLgDeoHGkuuw_11_0"/>
      <w:bookmarkStart w:id="444" w:name="Tc_LCXY_aQkcE2ELxQNH4UBJA_10_3"/>
      <w:bookmarkStart w:id="445" w:name="Tc_O-I42fv26Ey7ItvVRCULVA_10_0"/>
      <w:bookmarkStart w:id="446" w:name="Tc_CT5QvNIgAECaF6AVKyB2pw_9_0"/>
      <w:bookmarkStart w:id="447" w:name="Tc_GunGU1tf_0e66PhnKH_kqg_8_0"/>
      <w:bookmarkStart w:id="448" w:name="Tc_kzw0EzuW0EiFKsfzIaIZLA_7_0"/>
      <w:bookmarkStart w:id="449" w:name="Tc_fREeuQYlgEybyWz_47xfIw_6_0"/>
      <w:bookmarkStart w:id="450" w:name="Tc_01Rck6LYOU2pFOcd33iZTA_4_5"/>
      <w:bookmarkStart w:id="451" w:name="Tc_DM82bN6ESkWNdm63xI4K4g_4_2"/>
      <w:bookmarkStart w:id="452" w:name="Tc_5nwDlG3C-0-yghQP_O6LFQ_4_0"/>
      <w:bookmarkStart w:id="453" w:name="Tc_9UVZMRXOlkChGuCQ-DK9AQ_3_0"/>
      <w:bookmarkStart w:id="454" w:name="Tc_0dI9uSm9wk-kYn9eiD7JWA_2_5"/>
      <w:bookmarkStart w:id="455" w:name="Tc_g3bOLuXAWESUXDIUmu_Kfg_2_2"/>
      <w:bookmarkStart w:id="456" w:name="Tc_e5wErhHhuUCMx0N957PlZw_1_2"/>
      <w:bookmarkStart w:id="457" w:name="_78e16cce_20f5_46b8_991e_ad7843ff4ad2"/>
      <w:bookmarkStart w:id="458" w:name="Tc_BBLN0OaE3UKrMLWJjcWvzQ_62_5"/>
      <w:bookmarkStart w:id="459" w:name="Tc_T_fXNjji8ku0pQ_G9PnJlQ_62_2"/>
      <w:bookmarkStart w:id="460" w:name="Tc_MWwUHHP8KkOMA0mHwnLZZA_62_0"/>
      <w:bookmarkStart w:id="461" w:name="Tc_kR7bvdIsS0eO_pUe6bKTQA_61_6"/>
      <w:bookmarkStart w:id="462" w:name="Tc_dLIsjC16kEeerA91msz7nA_61_5"/>
      <w:bookmarkStart w:id="463" w:name="Tc_D2V3ZdlCXUydx3EUZP9G8w_61_2"/>
      <w:bookmarkStart w:id="464" w:name="Tc_ui8HLwDUN0mqrsK51mJpUQ_61_0"/>
      <w:bookmarkStart w:id="465" w:name="Tc_VN4ZfVi-Z0OmAwHc6n6G5A_60_5"/>
      <w:bookmarkStart w:id="466" w:name="Tc_EtADiMH_2EW2ulncUwkZcw_60_2"/>
      <w:bookmarkStart w:id="467" w:name="Tc_Nx6WBTycVkWzMw5ZBewaKA_60_0"/>
      <w:bookmarkStart w:id="468" w:name="Tc_eVDAVdQrDkOzMS9jq30_9g_59_5"/>
      <w:bookmarkStart w:id="469" w:name="Tc_sy9HNqtk60qiR3Bg23YUEA_59_2"/>
      <w:bookmarkStart w:id="470" w:name="Tc_AWc0VIC0G0SIj4lmi7pLJw_59_0"/>
      <w:bookmarkStart w:id="471" w:name="Tc_Ip2GVnjHlUaOcyV3U-CzzA_58_5"/>
      <w:bookmarkStart w:id="472" w:name="Tc_R9YqVCaGA0eQUrkGjnziUg_58_3"/>
      <w:bookmarkStart w:id="473" w:name="Tc_Q4LmdZm_e0e60Bs_mlSM-g_58_2"/>
      <w:bookmarkStart w:id="474" w:name="Tc_cqz2N1kSyUiA9vRbGbA5qQ_58_0"/>
      <w:bookmarkStart w:id="475" w:name="Tc_Az8ec0vu4UOqFDga52Xvbg_57_0"/>
      <w:bookmarkStart w:id="476" w:name="Tc_M9AiAfzXskKONurjiRDwoQ_55_5"/>
      <w:bookmarkStart w:id="477" w:name="Tc_to-o1vbUbkuqjs58uwpZow_55_2"/>
      <w:bookmarkStart w:id="478" w:name="Tc_6rhu5uULUU6wsfUjdVmRCA_55_0"/>
      <w:bookmarkStart w:id="479" w:name="Tc_DpvhwBQJuEqXdvfXvF-h8Q_54_5"/>
      <w:bookmarkStart w:id="480" w:name="Tc_NJpOwZ83zUGTskRFVDyIqw_54_2"/>
      <w:bookmarkStart w:id="481" w:name="Tc_DusF_-48EkKxxOSye7ykSw_54_0"/>
      <w:bookmarkStart w:id="482" w:name="Tc_A-0Yn_UsR0CS0V9uIOJUkg_53_5"/>
      <w:bookmarkStart w:id="483" w:name="Tc_EJnAo_Oi_kOjcMD61uDwHA_53_2"/>
      <w:bookmarkStart w:id="484" w:name="Tc_lWWRDc-IHkW0rYNa7VqZ9g_53_0"/>
      <w:bookmarkStart w:id="485" w:name="Tc_w9nwWX6yn0eDRL8AtOKmWw_52_0"/>
      <w:bookmarkStart w:id="486" w:name="Tc_zJlK_t3UY0mxDbVfWL74tQ_50_5"/>
      <w:bookmarkStart w:id="487" w:name="Tc_9uAXK0cONEaohsGJ81UCTg_50_2"/>
      <w:bookmarkStart w:id="488" w:name="Tc_2i97cDbDaEm0zu-jO-GgzA_50_0"/>
      <w:bookmarkStart w:id="489" w:name="Tc_jLPkkgkXvEWAhVBjNIv8fw_48_0"/>
      <w:bookmarkStart w:id="490" w:name="Tc_eey4BIBKLE-rtJtpVWDjkw_46_0"/>
      <w:bookmarkStart w:id="491" w:name="Tc_5NEd8Edp_Uii722NWIQDKA_44_0"/>
      <w:bookmarkStart w:id="492" w:name="Tc_fhPyIWGu4E-YxK0PcjeQmg_42_0"/>
      <w:bookmarkStart w:id="493" w:name="Tc_7KUb4e51PEKc7qoVk_a2qg_40_3"/>
      <w:bookmarkStart w:id="494" w:name="Tc_F9PYFTIgbECZSnRA7lNYbQ_40_0"/>
      <w:bookmarkStart w:id="495" w:name="Tc_o_ThLdMNHkuhk8DAf0GnUg_39_6"/>
      <w:bookmarkStart w:id="496" w:name="Tc_5P4TlQY0dkiwTPhph0VvSA_39_0"/>
      <w:bookmarkStart w:id="497" w:name="Tc_JDvb2zXUmUWS5GFIs3jaqQ_38_0"/>
      <w:bookmarkStart w:id="498" w:name="Tc_nqU2jHfhCEGT_PMYQ5Ztqg_37_6"/>
      <w:bookmarkStart w:id="499" w:name="Tc_Np_nkYkoLE6whSahQgnBnQ_37_0"/>
      <w:bookmarkStart w:id="500" w:name="Tc_teqQgAzSzUW27wmvCqirIA_36_6"/>
      <w:bookmarkStart w:id="501" w:name="Tc_Wu4SrUSNnUmVwSd4OdvkyA_36_0"/>
      <w:bookmarkStart w:id="502" w:name="Tc_uOhm_ksZ4kusNq-nJ62oGA_35_0"/>
      <w:bookmarkStart w:id="503" w:name="Tc_NTLKCpP1ZUOJwzvQ47VdZg_34_0"/>
      <w:bookmarkStart w:id="504" w:name="Tc_H1zT6n2PPUKOJAfn9Z4Ldw_33_0"/>
      <w:bookmarkStart w:id="505" w:name="Tc_ZqRmJpgdxk-tmeJBAAgOrA_31_0"/>
      <w:bookmarkStart w:id="506" w:name="Tc_4FPOk0bGG0ikTc1wWDnZtQ_29_6"/>
      <w:bookmarkStart w:id="507" w:name="Tc_PTywUR8JWk2ifqWm6K-9_w_29_0"/>
      <w:bookmarkStart w:id="508" w:name="Tc_fa_VcyKRMke0mpELoSK4cg_28_3"/>
      <w:bookmarkStart w:id="509" w:name="Tc_b12YoH4u00GkWjhH4URGEQ_28_0"/>
      <w:bookmarkStart w:id="510" w:name="Tc_bS7WfzGsP0OCLV6g3tdI_g_27_3"/>
      <w:bookmarkStart w:id="511" w:name="Tc_bNfoECZyYUydzFKhFLG6LQ_27_0"/>
      <w:bookmarkStart w:id="512" w:name="Tc_FNWif45C0UOO2qd8GCnn5w_26_0"/>
      <w:bookmarkStart w:id="513" w:name="Tc_yscYvP0ue0Kzxd_KSE73OQ_25_0"/>
      <w:bookmarkStart w:id="514" w:name="Tc_Pgr2DIIXhkaQxRSK_VCARA_24_0"/>
      <w:bookmarkStart w:id="515" w:name="Tc_ey7eEsmsCUKZ4xTSCKf9YQ_22_0"/>
      <w:bookmarkStart w:id="516" w:name="Tc_oK375dlidUery20I-rSQGQ_20_0"/>
      <w:bookmarkStart w:id="517" w:name="Tc_eqpHc6Mu2kK_9Ft1ltPlUw_19_0"/>
      <w:bookmarkStart w:id="518" w:name="Tc_mQ2AOtwMb06FrxavU66hCA_18_0"/>
      <w:bookmarkStart w:id="519" w:name="Tc_UQ_pwB9dGUyiKNrgK-VB9A_17_0"/>
      <w:bookmarkStart w:id="520" w:name="Tc_YIktfp_jPkOa3YAkK6_W4Q_16_0"/>
      <w:bookmarkStart w:id="521" w:name="Tc_SGEXnBXoyEOJswA9Ar-PXg_15_0"/>
      <w:bookmarkStart w:id="522" w:name="Tc_HdOyhJOVB0C6s5d9anS9Qw_14_0"/>
      <w:bookmarkStart w:id="523" w:name="Tc_FsH-3bL--0e8GtfGkZCdyQ_13_0"/>
      <w:bookmarkStart w:id="524" w:name="Tc_RIZLmdF3DkiJEbOigGsSsA_12_0"/>
      <w:bookmarkStart w:id="525" w:name="Tc_Y59hP8YSC0SjVNT33i-b3A_11_6"/>
      <w:bookmarkStart w:id="526" w:name="Tc_QHi0rA-K-kuLgDeoHGkuuw_11_0"/>
      <w:bookmarkStart w:id="527" w:name="Tc_LCXY_aQkcE2ELxQNH4UBJA_10_3"/>
      <w:bookmarkStart w:id="528" w:name="Tc_O-I42fv26Ey7ItvVRCULVA_10_0"/>
      <w:bookmarkStart w:id="529" w:name="Tc_CT5QvNIgAECaF6AVKyB2pw_9_0"/>
      <w:bookmarkStart w:id="530" w:name="Tc_GunGU1tf_0e66PhnKH_kqg_8_0"/>
      <w:bookmarkStart w:id="531" w:name="Tc_kzw0EzuW0EiFKsfzIaIZLA_7_0"/>
      <w:bookmarkStart w:id="532" w:name="Tc_fREeuQYlgEybyWz_47xfIw_6_0"/>
      <w:bookmarkStart w:id="533" w:name="Tc_01Rck6LYOU2pFOcd33iZTA_4_5"/>
      <w:bookmarkStart w:id="534" w:name="Tc_DM82bN6ESkWNdm63xI4K4g_4_2"/>
      <w:bookmarkStart w:id="535" w:name="Tc_5nwDlG3C-0-yghQP_O6LFQ_4_0"/>
      <w:bookmarkStart w:id="536" w:name="Tc_9UVZMRXOlkChGuCQ-DK9AQ_3_0"/>
      <w:bookmarkStart w:id="537" w:name="Tc_0dI9uSm9wk-kYn9eiD7JWA_2_5"/>
      <w:bookmarkStart w:id="538" w:name="Tc_g3bOLuXAWESUXDIUmu_Kfg_2_2"/>
      <w:bookmarkStart w:id="539" w:name="Tc_e5wErhHhuUCMx0N957PlZw_1_2"/>
      <w:bookmarkStart w:id="540" w:name="_78e16cce_20f5_46b8_991e_ad7843ff4ad2"/>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tbl>
      <w:tblPr>
        <w:tblW w:w="8748" w:type="dxa"/>
        <w:jc w:val="left"/>
        <w:tblInd w:w="0" w:type="dxa"/>
        <w:tblLayout w:type="fixed"/>
        <w:tblCellMar>
          <w:top w:w="0" w:type="dxa"/>
          <w:left w:w="0" w:type="dxa"/>
          <w:bottom w:w="0" w:type="dxa"/>
          <w:right w:w="0" w:type="dxa"/>
        </w:tblCellMar>
      </w:tblPr>
      <w:tblGrid>
        <w:gridCol w:w="6121"/>
        <w:gridCol w:w="346"/>
        <w:gridCol w:w="196"/>
        <w:gridCol w:w="631"/>
        <w:gridCol w:w="346"/>
        <w:gridCol w:w="196"/>
        <w:gridCol w:w="721"/>
        <w:gridCol w:w="191"/>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886835" cy="175260"/>
                      <wp:effectExtent l="0" t="0" r="0" b="0"/>
                      <wp:wrapNone/>
                      <wp:docPr id="80" name="Frame80"/>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00685" cy="175260"/>
                      <wp:effectExtent l="0" t="0" r="0" b="0"/>
                      <wp:wrapNone/>
                      <wp:docPr id="83" name="Frame8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57835" cy="175260"/>
                      <wp:effectExtent l="0" t="0" r="0" b="0"/>
                      <wp:wrapNone/>
                      <wp:docPr id="86" name="Frame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1285" cy="175260"/>
                      <wp:effectExtent l="0" t="0" r="0" b="0"/>
                      <wp:wrapNone/>
                      <wp:docPr id="87" name="Frame8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(4,119)</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operating lease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Bad debt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disposal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prepaid expenses and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5,653</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(10,259)</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(1,866)</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 net of non-cash capital expenditures summarized below</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insurance claim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maturity of 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notes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line of credit (related party)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line of credit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withholdings related to stock based compensation awards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(9,860)</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(11,563)</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(14,387)</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15,772</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accrued 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 incurred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right-of-use assets and 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w:t>
            </w:r>
          </w:p>
        </w:tc>
        <w:tc>
          <w:tcPr>
            <w:tcW w:w="191"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Financed equipment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Financed insurance premiums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41" w:name="_105c2481_2fc4_4bf8_9f7f_e4141797142b"/>
      <w:bookmarkEnd w:id="541"/>
      <w:r>
        <w:rPr>
          <w:rFonts w:ascii="Times New Roman;Times;serif" w:hAnsi="Times New Roman;Times;serif"/>
          <w:b/>
          <w:sz w:val="20"/>
        </w:rPr>
        <w:t>DAWSON GEOPHYSICAL COMPANY</w:t>
      </w:r>
    </w:p>
    <w:p>
      <w:pPr>
        <w:pStyle w:val="TextBody"/>
        <w:bidi w:val="0"/>
        <w:spacing w:before="240" w:after="240"/>
        <w:ind w:left="0" w:right="0" w:hanging="0"/>
        <w:jc w:val="center"/>
        <w:rPr>
          <w:rFonts w:ascii="Times New Roman;Times;serif" w:hAnsi="Times New Roman;Times;serif"/>
          <w:b/>
          <w:sz w:val="20"/>
        </w:rPr>
      </w:pPr>
      <w:bookmarkStart w:id="542" w:name="NOTESTOCONSOLIDATEDFINANCIALSTATEMENTS_8"/>
      <w:bookmarkEnd w:id="542"/>
      <w:r>
        <w:rPr>
          <w:rFonts w:ascii="Times New Roman;Times;serif" w:hAnsi="Times New Roman;Times;serif"/>
          <w:b/>
          <w:sz w:val="20"/>
        </w:rPr>
        <w:t>NOTES TO CONSOLIDATED FINANCIAL STATEMENTS</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 Bold" w:hAnsi="Times New Roman Bold"/>
          <w:b/>
          <w:sz w:val="20"/>
        </w:rPr>
        <w:t>1.         </w:t>
      </w:r>
      <w:r>
        <w:rPr>
          <w:rFonts w:ascii="Times New Roman;Times;serif" w:hAnsi="Times New Roman;Times;serif"/>
          <w:sz w:val="20"/>
        </w:rPr>
        <w:t xml:space="preserve">  </w:t>
      </w:r>
      <w:r>
        <w:rPr>
          <w:rFonts w:ascii="Times New Roman Bold" w:hAnsi="Times New Roman Bold"/>
          <w:b/>
          <w:sz w:val="20"/>
        </w:rPr>
        <w:t xml:space="preserve">Summary of Significant Accounting Policies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Organization and Nature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is a leading provider of onshore seismic data acquisition and processing services. Founded in 1952, the Company acquires and processes 2-D, 3-D and multi-component seismic data for its clients, ranging from major oil and gas companies to independent oil and gas operators as well as providers of multi-client data libraries. The Company operates in the lower 48 states of the U.S. and in Canada.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Basis of Presentation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consolidated financial statements include the accounts of the Company. Intercompany accounts and transactions have been eliminated. In the opinion of the Company’s management, the consolidated financial statements reflect all adjustments, which are normal and recurring in nature, necessary for fair financial statement presentation. The preparation of these condensed consolidated financial statements in conformity with U.S. generally accepted accounting principles (“GAAP”) requires management to make estimates and assumptions that affect the amounts reported in these consolidated financial statements and accompanying notes. Actual results could differ materially from those estimates. Certain prior period amounts in the condensed consolidated financial statements may have been reclassified to conform to the current period’s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consolidated financial statements have been prepared using accounting principles generally accepted in the U.S. for interim financial information and the instructions to Form 10-K and applicable rules of Regulation S-X of the Securities and Exchange Commission (the “SEC”).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Principles of Consolidation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wholly-owned subsidiaries, Dawson Operating LLC, Dawson Seismic Services Holdings, Inc., Eagle Canada, Inc., Eagle Canada Seismic Services ULC, Exploration Surveys, Inc. All significant intercompany balances and transactions have been eliminated in consolidation.</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Cash Equivalents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the consolidated financial statements, the Company considers demand deposits, certificates of deposit, overnight investments, money market funds and all highly liquid debt instruments purchased with an initial maturity of three months or less to be cash equivalents.</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Allowance for Current Expected Credit Loss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allowance for credit losses reflects its current estimate expected to be incurred over the life of the financial instrument and is determined based on a number of factors. Management determines the need for any allowance for credit losses on accounts receivable based on its review of past-due accounts, its past experience of historical write-offs, its current client base, when customer accounts exceed 90 days past due and specific customer account reviews. While the collectability of outstanding client invoices is continually assessed, the inherent volatility of the energy industry’s business cycle can cause swift and unpredictable changes in the financial stability of the Company’s clients. With the adoption of ASU No. 2016-13 in 2020, the Company made an accounting policy election to write off accrued interest amounts by reversing interest income. The Company's allowance for credit losses was $250,000 at January 1, 2024, December 31, 2024, and December 31,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543" w:name="Tc_hQLHFV7xhUOHTuSbbsGFVQ_7_5"/>
      <w:bookmarkStart w:id="544" w:name="Tc_a_v41s5z80WQE9da0bGzBA_7_2"/>
      <w:bookmarkStart w:id="545" w:name="Tc__McwfRIbyE67oAsl-Xh-TA_7_0"/>
      <w:bookmarkStart w:id="546" w:name="Tc_uMbFXFdTh0y-xqjE9IJ26w_6_6"/>
      <w:bookmarkStart w:id="547" w:name="Tc_sVJQ9WWs1EqpwsfD3dse1Q_6_3"/>
      <w:bookmarkStart w:id="548" w:name="Tc_-W_Rhd1MjU2PQyBjjqLSeg_6_0"/>
      <w:bookmarkStart w:id="549" w:name="Tc__Xxp685a9Ea4kIS8H8PL8Q_5_6"/>
      <w:bookmarkStart w:id="550" w:name="Tc_LMKTDhNcc0G1lQw6ua007Q_5_0"/>
      <w:bookmarkStart w:id="551" w:name="Tc_TXJ2G9xaqk6rcGp0h2Smcw_4_6"/>
      <w:bookmarkStart w:id="552" w:name="Tc_ee3IFTvHZ0iRft39ynKrGg_4_0"/>
      <w:bookmarkStart w:id="553" w:name="Tc_1Hu8dM_jgUywMj20bSN0Tg_3_5"/>
      <w:bookmarkStart w:id="554" w:name="Tc_bxZB58laIUq2avTg9UgM2Q_3_2"/>
      <w:bookmarkStart w:id="555" w:name="Tc_Cfkf2ixlAEmbFhAR_ScIxw_3_0"/>
      <w:bookmarkStart w:id="556" w:name="Tc_fsGaa6e6EEOVIjvwRaCw2Q_2_5"/>
      <w:bookmarkStart w:id="557" w:name="Tc_kChbOqaUs0CqJq7dZKEAEg_2_3"/>
      <w:bookmarkStart w:id="558" w:name="Tc_ujD8D8F08k6wyCQtYa1Jsg_1_2"/>
      <w:bookmarkStart w:id="559" w:name="_7ce7138e_6a99_4906_a3ae_45430f9f2c20"/>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ascii="Times New Roman;Times;serif" w:hAnsi="Times New Roman;Times;serif"/>
          <w:sz w:val="20"/>
        </w:rPr>
        <w:t>The table below reflects all allowance for credit loss activity recorded during the years ending December 31, 2025, and December 31, 2024 (in thousands):</w:t>
      </w:r>
    </w:p>
    <w:tbl>
      <w:tblPr>
        <w:tblW w:w="5536" w:type="dxa"/>
        <w:jc w:val="left"/>
        <w:tblInd w:w="0" w:type="dxa"/>
        <w:tblLayout w:type="fixed"/>
        <w:tblCellMar>
          <w:top w:w="0" w:type="dxa"/>
          <w:left w:w="0" w:type="dxa"/>
          <w:bottom w:w="0" w:type="dxa"/>
          <w:right w:w="0" w:type="dxa"/>
        </w:tblCellMar>
      </w:tblPr>
      <w:tblGrid>
        <w:gridCol w:w="2986"/>
        <w:gridCol w:w="346"/>
        <w:gridCol w:w="274"/>
        <w:gridCol w:w="704"/>
        <w:gridCol w:w="190"/>
        <w:gridCol w:w="274"/>
        <w:gridCol w:w="762"/>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96110" cy="175260"/>
                      <wp:effectExtent l="0" t="0" r="0" b="0"/>
                      <wp:wrapNone/>
                      <wp:docPr id="88" name="Frame8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3990" cy="175260"/>
                      <wp:effectExtent l="0" t="0" r="0" b="0"/>
                      <wp:wrapNone/>
                      <wp:docPr id="90" name="Frame9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47040" cy="175260"/>
                      <wp:effectExtent l="0" t="0" r="0" b="0"/>
                      <wp:wrapNone/>
                      <wp:docPr id="91" name="Frame91"/>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0650" cy="175260"/>
                      <wp:effectExtent l="0" t="0" r="0" b="0"/>
                      <wp:wrapNone/>
                      <wp:docPr id="92" name="Frame92"/>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3990" cy="175260"/>
                      <wp:effectExtent l="0" t="0" r="0" b="0"/>
                      <wp:wrapNone/>
                      <wp:docPr id="93" name="Frame9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83870" cy="175260"/>
                      <wp:effectExtent l="0" t="0" r="0" b="0"/>
                      <wp:wrapNone/>
                      <wp:docPr id="94" name="Frame94"/>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0"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90"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provisions to allowance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90"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762" w:type="dxa"/>
            <w:tcBorders/>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against allowance - A/R</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center"/>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90"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center"/>
              <w:rPr/>
            </w:pPr>
            <w:r>
              <w:rPr/>
              <w:t>​</w:t>
            </w:r>
          </w:p>
        </w:tc>
        <w:tc>
          <w:tcPr>
            <w:tcW w:w="762"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0"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90"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bl>
    <w:p>
      <w:pPr>
        <w:pStyle w:val="TextBody"/>
        <w:bidi w:val="0"/>
        <w:spacing w:before="0" w:after="0"/>
        <w:ind w:left="0" w:right="0" w:hanging="0"/>
        <w:jc w:val="left"/>
        <w:rPr/>
      </w:pPr>
      <w:r>
        <w:rPr/>
        <w:t>​</w:t>
      </w:r>
    </w:p>
    <w:p>
      <w:pPr>
        <w:pStyle w:val="TextBody"/>
        <w:bidi w:val="0"/>
        <w:spacing w:lineRule="auto" w:line="285" w:before="24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Property and Equipment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is capitalized at historical cost or the fair value of assets acquired in a business combination and is depreciated over the useful life of the asset. Management’s estimation of this useful life is based on circumstances that exist in the seismic industry and information available at the time of the purchase of the asset. As circumstances change and new information becomes available, these estimates could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Depreciation is computed using the straight-line method. When assets are retired or otherwise disposed of, the cost and related accumulated depreciation are removed from the consolidated balance sheet, and any resulting gain or loss is reflected in the results of operations for the period.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Impairment of Long-Lived Assets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Long-lived assets are tested for impairment at the asset group level when events or changes in circumstances indicate the carrying value of the asset group may not be recoverable. Recognition of an impairment charge is required if future expected undiscounted net cash flows are insufficient to recover the carrying value of the asset group and the fair value of the asset group is below its carrying value. Depending upon the facts and circumstances, when indicators of asset impairment exist, management will test the asset group for impairment through developing a forecast of future undiscounted cash flows expected to be generated by the asset group or by estimating the fair value of assets within the asset group in lieu of detailed cash flow projections. If either the future undiscounted cashflows expected to be generated by the asset group or the fair of the assets within the asset group exceeds the carrying value of the asset group no impairment would be recognized. During the year ended December 31, 2024, management tested two of its asset groups for impairment through estimating the fair value of certain assets within the asset groups using a market approach or cost approach, as applicable. Because the fair value of these assets collectively exceeded the carrying value of the asset group, no impairment charges were recognized for the year ended December 31, 2024. No impairment test was required during the year ended December 31, 2025.</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certain vehicles, seismic recording equipment, real property and office equipment under lease agreements. The Company evaluates each lease to determine its appropriate classification as an operating lease or a finance lease for financial reporting purposes. The Company is the lessee in a lease contract when we obtain the right to control the asset. The majority of our operating leases are non-cancelable operating leases for office, shop and warehouse space in Midland and Plano, Texas, and Calgary and Wheatland County, Alberta.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assets and liabilities under finance leases are recorded at the lower of the present value of the minimum lease payments or the fair market value of the related assets. Assets under finance leases are amortized using the straight-line method over the initial lease term. Amortization of assets under finance leases is included in depreciation expense.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operating leases, where readily determinable, the Company uses the implicit interest rate in determining the present value of future minimum lease payments. In the absence of an implicit rate, the Company uses its incremental borrowing rate based on the information available at the lease commencement date. The Company gives consideration to its outstanding debt, as well as publicly available data for instruments with similar characteristics when calculating its incremental borrowing rates. The ROU assets are amortized to operating lease cost over the lease terms on a straight-line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basis and is included in operating expense. The Company does not recognize leases with an initial term of 12 months or less and does not separate lease and non-lease components.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Several of the Company’s leases include options to renew, with renewal terms that can extend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10 years or more. The exercise of lease renewal options is primarily at the Company’s discretion. To measure operating lease recognition, the Company evaluates its lease agreements to determine if they have economic incentives for renewal or options to purchase. The Company deems leasehold improvements as one of the few economic incentives that would entice the Company to renew a lease and all of its leasehold improvements are currently fully amortized.</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Intangibles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intangible assets consisting primarily of trademarks/tradenames (which are not amortized) resulting from a business combination. The Company tests for impairment on an annual basis during the fourth quarter, and between annual tests if an event occurs or circumstances change that would more likely than not reduce the fair value of the reporting unit below its carrying amount. No impairment charges were recognized for the years ended December 31, 2025 and 2024.</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Revenue Recognition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Services are provided under cancelable service contracts which usually have an original expected duration of one year or less. These contracts are either turnkey or term agreements. Under both types of agreements, the Company recognizes revenues as the services are performed. Revenue is generally recognized based on receivers laid out and picked up compared to total receivers anticipated to be recorded on the survey using the total estimated revenue for the service contract. In the case of a cancelled service contract, the client is billed and revenue is recognized for any third party charges and square miles of data recorded up to the date of cancellation.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receives reimbursements for certain out-of-pocket expenses under the terms of the service contracts. The amounts billed to clients are included at their gross amount in the total estimated revenue for the service contract.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Clients are billed as permitted by the service contract. Contract assets and contract liabilities are the result of timing differences between revenue recognition, billings and cash collections. If billing occurs prior to the revenue recognition or billing exceeds the revenue recognized, the amount is considered deferred revenue and a contract liability. Conversely, if the revenue recognition exceeds the billing, the excess is considered an unbilled receivable and a contract asset. As services are performed, those deferred revenue amounts are recognized as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instances, third-party permitting, surveying, drilling, helicopter, equipment rental and mobilization costs that directly relate to the contract are utilized to fulfill the contract obligations. These fulfillment costs are capitalized in other current assets and generally amortized based on receivers laid out and picked up compared to total receivers anticipated to be recorded on the survey using the total estimated fulfillment costs for the service contract.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Estimates for total revenue and total fulfillment cost on any service contract are based on certain qualitative and quantitative judgments supported by underlying facts. Management considers a variety of factors such as whether various components of the performance obligation will be performed internally or externally, cost of third party services, and facts and circumstances unique to the performance obligation in making these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Company’s policy includes (i) ignoring the financing component when estimating the transaction price for service contracts completed within one year, (ii) excluding sales tax collected from the customer when determining the transaction price, and (iii) expensing incremental costs to obtain a customer contract if the amortization period for those costs would otherwise be one year or less. See note 15 for additional disclosures related to disaggregated revenue.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Tony Clark, Chief Executive Officer, is our current chief operating decision maker. Our chief operating decision maker reviews the discrete segment financial information on a geographic basis for the US operations and Canada Operations. The revenue for both of the Company’s segments is generated by the same services, which utilize the same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type of equipment and personnel. The performance of our segments is evaluated primarily on Adjusted EBITDA. We define Adjusted EBITDA as our net income (loss), before (i) interest expense, net, (ii) income tax expense or benefit, (iii) depreciation and amortization and (iv) non-recurring and other charges, such as strategic transaction costs or severance expenses. As a result, our business has two reportable segments, US operations and Canada Operations. We have included disclosures about our two reportable segments for all periods presented herein. See Note 15 for additional disclosures related to our reportable segments.</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Stock-Based Compensation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measures all stock-based compensation awards, which include stock options, restricted stock, restricted stock units and common stock awards, using the fair value method and recognizes compensation expense, net of actual forfeitures, as operating or general and administrative expense, as appropriate, in the Consolidated Statements of Operations and Comprehensive Loss on a straight-line basis over the vesting period of the related awards.</w:t>
      </w:r>
    </w:p>
    <w:p>
      <w:pPr>
        <w:pStyle w:val="TextBody"/>
        <w:bidi w:val="0"/>
        <w:spacing w:lineRule="auto" w:line="285" w:before="0" w:after="200"/>
        <w:ind w:left="0" w:right="0" w:firstLine="720"/>
        <w:jc w:val="left"/>
        <w:rPr>
          <w:rFonts w:ascii="Times New Roman;Times;serif" w:hAnsi="Times New Roman;Times;serif"/>
          <w:b/>
          <w:i/>
          <w:sz w:val="20"/>
        </w:rPr>
      </w:pPr>
      <w:r>
        <w:rPr>
          <w:rFonts w:ascii="Times New Roman;Times;serif" w:hAnsi="Times New Roman;Times;serif"/>
          <w:b/>
          <w:i/>
          <w:sz w:val="20"/>
        </w:rPr>
        <w:t xml:space="preserve">Foreign Currency Translation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Dollar is the reporting currency for all periods presented. The functional currency of the Company’s foreign subsidiaries is generally the local currency. Any transactions denominated in a currency other than the functional currency are remeasured with the resulting unrealized gain or loss recognized in the Consolidated Statements of Operations and Comprehensive Loss as other income (expense). All assets and liabilities in the functional currency are then translated into U.S. Dollars at the exchange rate on the consolidated balance sheet date. Income and expenses are translated using the exchange rate applicable to each transaction. Equity transactions are translated using historical exchange rates. Adjustments resulting from translation are recorded as a separate component of accumulated other comprehensive income (loss) in the Consolidated Balance Sheets. Realized foreign currency transaction gains (losses) are included in the Consolidated Statements of Operations and Comprehensive Loss as other income (expense).</w:t>
      </w:r>
    </w:p>
    <w:p>
      <w:pPr>
        <w:pStyle w:val="TextBody"/>
        <w:bidi w:val="0"/>
        <w:spacing w:lineRule="auto" w:line="285" w:before="0" w:after="200"/>
        <w:ind w:left="0" w:right="0" w:firstLine="720"/>
        <w:jc w:val="left"/>
        <w:rPr>
          <w:rFonts w:ascii="Times New Roman;Times;serif" w:hAnsi="Times New Roman;Times;serif"/>
          <w:b/>
          <w:i/>
          <w:sz w:val="20"/>
        </w:rPr>
      </w:pPr>
      <w:r>
        <w:rPr>
          <w:rFonts w:ascii="Times New Roman;Times;serif" w:hAnsi="Times New Roman;Times;serif"/>
          <w:b/>
          <w:i/>
          <w:sz w:val="20"/>
        </w:rPr>
        <w:t xml:space="preserve">Income Taxes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income taxes by recognizing amounts of taxes payable or refundable for the current year, and by using an asset and liability approach in recognizing the amount of deferred tax assets and liabilities for the future tax consequences of events that have been recognized in its financial statements or tax returns. The Company determines deferred taxes by identifying the types and amounts of existing temporary differences, measuring the total deferred tax asset or liability using the applicable tax rate in effect for the year in which those temporary differences are expected to be recovered or settled. The effect of a change in tax rates of deferred tax assets and liabilities is recognized in income in the year of an enacted rate change. The deferred tax asset is reduced by a valuation allowance if, based on available evidence, it is more likely than not that some portion or all of the deferred tax asset will not be realized. The Company’s methodology for recording income taxes requires judgment regarding assumptions and the use of estimates, including determining our annual effective tax rate and the valuation of deferred tax assets, which can create a variance between actual results and estimates and could have a material impact on its provision or benefit for income taxes. Due to recent operating losses and valuation allowances, the Company may recognize reduced or no tax benefits on future losses on the Consolidated Statements of Operations and Comprehensive Loss. The Company’s effective tax rates differ from the statutory federal rate of 21% for certain items such as state and local taxes, valuation allowances, and non-deductible expenses. The tax years that are open to examination for the U.S. are for years after 2021, for Canada and Texas it is years after 2020.  </w:t>
      </w:r>
    </w:p>
    <w:p>
      <w:pPr>
        <w:pStyle w:val="TextBody"/>
        <w:bidi w:val="0"/>
        <w:spacing w:lineRule="auto" w:line="285" w:before="0" w:after="200"/>
        <w:ind w:left="0" w:right="0" w:firstLine="720"/>
        <w:jc w:val="left"/>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Preparation of the accompanying consolidated financial statements in conformity with GAAP requires management to make estimates and assumptions that affect the reported amounts of assets and liabilities and disclosure of certain assets and liabilities at the date of the consolidated financial statements and the reported amounts of revenues and expenses during the reporting period. The most sensitive estimates involve the Company’s estimates of the valuation allowance recorded against deferred tax assets, which include consideration of historical and forecasted operating results, and in the case of an indication of impairment of long-lived assets, the estimated fair value of asset groups for which impairment is indicated. Because of the use of assumptions and estimates inherent in the reporting process, actual results could differ from those estimates. </w:t>
      </w:r>
    </w:p>
    <w:p>
      <w:pPr>
        <w:pStyle w:val="TextBody"/>
        <w:bidi w:val="0"/>
        <w:spacing w:before="0" w:after="24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be profitable in the future will depend on many factors beyond our control, but primarily on the level of demand for land-based seismic data acquisition services by oil and natural gas exploration and development companies. We incurred net losses of $1.9 million for the year ended December 31, 2025, and $4.1 million for the year ended December 31, 2024. As of December 31, 2025, we had $4.9 million in cash, and a negative working capital balance of $5.0 million. We believe that our cash flows from operations, and our current financial position are adequate to fund our obligations and continued operations.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Subsequent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has considered subsequent events after December 31, 2025 and through the date on which these financial statements were issued. Significant subsequent events have been reflected within Note 3.</w:t>
      </w:r>
    </w:p>
    <w:tbl>
      <w:tblPr>
        <w:tblW w:w="2477" w:type="dxa"/>
        <w:jc w:val="left"/>
        <w:tblInd w:w="0" w:type="dxa"/>
        <w:tblLayout w:type="fixed"/>
        <w:tblCellMar>
          <w:top w:w="0" w:type="dxa"/>
          <w:left w:w="0" w:type="dxa"/>
          <w:bottom w:w="0" w:type="dxa"/>
          <w:right w:w="0" w:type="dxa"/>
        </w:tblCellMar>
      </w:tblPr>
      <w:tblGrid>
        <w:gridCol w:w="271"/>
        <w:gridCol w:w="2206"/>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2.</w:t>
            </w:r>
          </w:p>
        </w:tc>
        <w:tc>
          <w:tcPr>
            <w:tcW w:w="220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Short-Term Investments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Company had short-term investments at December 31, 2025, of $370,000 consisting of certificates of deposit with original maturities greater than three months but less than a </w:t>
      </w:r>
      <w:r>
        <w:rPr>
          <w:rFonts w:ascii="Times New Roman;Times;serif" w:hAnsi="Times New Roman;Times;serif"/>
          <w:b w:val="false"/>
          <w:i w:val="false"/>
          <w:caps w:val="false"/>
          <w:smallCaps w:val="false"/>
          <w:sz w:val="20"/>
        </w:rPr>
        <w:t>year</w:t>
      </w:r>
      <w:r>
        <w:rPr>
          <w:rFonts w:ascii="Times New Roman;Times;serif" w:hAnsi="Times New Roman;Times;serif"/>
          <w:sz w:val="20"/>
        </w:rPr>
        <w:t>. These certificates of deposit are pledged as collateral under an outstanding letter of credit. See Note 7 for more information regarding the Company’s debt. The Company had no short-term investments at December 31, 2024.</w:t>
      </w:r>
    </w:p>
    <w:p>
      <w:pPr>
        <w:pStyle w:val="TextBody"/>
        <w:pBdr/>
        <w:bidi w:val="0"/>
        <w:spacing w:lineRule="auto" w:line="285" w:before="0" w:after="200"/>
        <w:ind w:left="0" w:right="0" w:hanging="721"/>
        <w:jc w:val="both"/>
        <w:rPr>
          <w:rFonts w:ascii="Times New Roman Bold" w:hAnsi="Times New Roman Bold"/>
          <w:b/>
          <w:sz w:val="20"/>
        </w:rPr>
      </w:pPr>
      <w:r>
        <w:rPr>
          <w:rFonts w:ascii="Times New Roman Bold" w:hAnsi="Times New Roman Bold"/>
          <w:b/>
          <w:sz w:val="20"/>
        </w:rPr>
        <w:t>3.           Equipment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As of December 31, 2025, we have taken delivery of $20.9 million of equipment and issued five Geospace Notes with an aggregate principal of approximately $15.5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of 2026, the Company received the sixth and final delivery of equipment and executed the sixth and final promissory note for approximately $2.7 million.</w:t>
      </w:r>
    </w:p>
    <w:p>
      <w:pPr>
        <w:pStyle w:val="TextBody"/>
        <w:pBdr/>
        <w:bidi w:val="0"/>
        <w:spacing w:lineRule="auto" w:line="285" w:before="0" w:after="200"/>
        <w:ind w:left="0" w:right="0" w:hanging="721"/>
        <w:jc w:val="both"/>
        <w:rPr>
          <w:rFonts w:ascii="Times New Roman Bold" w:hAnsi="Times New Roman Bold"/>
          <w:b/>
          <w:sz w:val="20"/>
        </w:rPr>
      </w:pPr>
      <w:r>
        <w:rPr>
          <w:rFonts w:ascii="Times New Roman Bold" w:hAnsi="Times New Roman Bold"/>
          <w:b/>
          <w:sz w:val="20"/>
        </w:rPr>
        <w:t xml:space="preserve">4.           Fair Value of Financial Instruments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At December 31, 2025 and 2024, the Company’s financial instruments included cash and cash equivalents, short-term investments in certificates of deposit, accounts receivable, other current assets, accounts payable, other current liabilities, notes payable, finance leases and operating lease liabilities. Due to the short-term maturities of cash and cash equivalents, accounts receivable, other current assets, accounts payable and other current liabilities, the carrying amounts approximate fair value at the respective balance sheet dates. The carrying value of the notes payable, finance leases and operating lease liabilities approximate their fair value based on a comparison with the prevailing market interest rates. Due to the short-term maturities of the Company’s investments in certificates of deposit, the carrying amounts approximate fair value at December 31, 2025. The fair values of the Company’s notes payable, finance leases, operating lease liabilities and investments in certificates of deposit are level 2 measurements in the fair value hierarchy.</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240"/>
        <w:ind w:left="0" w:right="0" w:hanging="720"/>
        <w:jc w:val="left"/>
        <w:rPr>
          <w:rFonts w:ascii="Times New Roman;Times;serif" w:hAnsi="Times New Roman;Times;serif"/>
          <w:b/>
          <w:sz w:val="20"/>
        </w:rPr>
      </w:pPr>
      <w:bookmarkStart w:id="560" w:name="Tc_lkZaE8AIJkyhb5k_MA9qSw_10_5"/>
      <w:bookmarkStart w:id="561" w:name="Tc_m5ipqYt-cEOcAXToKxrwKg_10_2"/>
      <w:bookmarkStart w:id="562" w:name="Tc_lPPGUe8cJUmveAp9lXXgVw_10_0"/>
      <w:bookmarkStart w:id="563" w:name="Tc_RH8QnqOo7kCcakOvGmaljQ_9_0"/>
      <w:bookmarkStart w:id="564" w:name="Tc_gUIxRMK4yEq66qtfQU8UDg_7_9"/>
      <w:bookmarkStart w:id="565" w:name="Tc_b6Q3ainWlUCUWQ_BG0Rd_g_7_0"/>
      <w:bookmarkStart w:id="566" w:name="Tc_sV4byl-MtUaClgeScNRQJw_6_9"/>
      <w:bookmarkStart w:id="567" w:name="Tc_S0-92RlpXEq-aHMrBrY9uQ_6_0"/>
      <w:bookmarkStart w:id="568" w:name="Tc_RuCbA-MSF0ynsWcqvRz_Ug_5_9"/>
      <w:bookmarkStart w:id="569" w:name="Tc_SEzU_GMWX0e6AlVaVUa81g_5_0"/>
      <w:bookmarkStart w:id="570" w:name="Tc_Q_d2vWXh0EKUAvjdKXPX8g_4_9"/>
      <w:bookmarkStart w:id="571" w:name="Tc_hI2liREndUm6hafrXtyN3Q_4_0"/>
      <w:bookmarkStart w:id="572" w:name="Tc_-txZeg06k0q52j8ZUoa_1g_3_9"/>
      <w:bookmarkStart w:id="573" w:name="Tc_csi5YM-2JUOZHv0199vpDA_3_5"/>
      <w:bookmarkStart w:id="574" w:name="Tc_XbxDMUibuUC32OgXKKvnNQ_3_2"/>
      <w:bookmarkStart w:id="575" w:name="Tc_988tkZyqN06GTmBe34icTw_3_0"/>
      <w:bookmarkStart w:id="576" w:name="Tc_HMNmdzavFkWz2A6q7ygQBA_2_8"/>
      <w:bookmarkStart w:id="577" w:name="Tc_q0FzFayqRkuVtyunoQD48A_2_5"/>
      <w:bookmarkStart w:id="578" w:name="Tc_ABmZfi8NgEKPJ1T4gUHRsg_2_2"/>
      <w:bookmarkStart w:id="579" w:name="Tc_IQNihv3JFEywNXgOI1gyBw_1_2"/>
      <w:bookmarkStart w:id="580" w:name="_2c38d2b9_0ac3_4dc1_9753_683fd39a52f7"/>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Times New Roman;Times;serif" w:hAnsi="Times New Roman;Times;serif"/>
          <w:b/>
          <w:sz w:val="20"/>
        </w:rPr>
        <w:t>5.           Property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together with the related estimated useful lives at December 31, 2025 and 2024, were as follows (in thousands):</w:t>
      </w:r>
    </w:p>
    <w:tbl>
      <w:tblPr>
        <w:tblW w:w="6953" w:type="dxa"/>
        <w:jc w:val="left"/>
        <w:tblInd w:w="0" w:type="dxa"/>
        <w:tblLayout w:type="fixed"/>
        <w:tblCellMar>
          <w:top w:w="0" w:type="dxa"/>
          <w:left w:w="0" w:type="dxa"/>
          <w:bottom w:w="0" w:type="dxa"/>
          <w:right w:w="0" w:type="dxa"/>
        </w:tblCellMar>
      </w:tblPr>
      <w:tblGrid>
        <w:gridCol w:w="2626"/>
        <w:gridCol w:w="346"/>
        <w:gridCol w:w="211"/>
        <w:gridCol w:w="811"/>
        <w:gridCol w:w="346"/>
        <w:gridCol w:w="211"/>
        <w:gridCol w:w="811"/>
        <w:gridCol w:w="109"/>
        <w:gridCol w:w="146"/>
        <w:gridCol w:w="133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67510" cy="175260"/>
                      <wp:effectExtent l="0" t="0" r="0" b="0"/>
                      <wp:wrapNone/>
                      <wp:docPr id="95" name="Frame95"/>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14985" cy="175260"/>
                      <wp:effectExtent l="0" t="0" r="0" b="0"/>
                      <wp:wrapNone/>
                      <wp:docPr id="98" name="Frame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4985" cy="175260"/>
                      <wp:effectExtent l="0" t="0" r="0" b="0"/>
                      <wp:wrapNone/>
                      <wp:docPr id="101" name="Frame1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3" name="Frame1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48360" cy="175260"/>
                      <wp:effectExtent l="0" t="0" r="0" b="0"/>
                      <wp:wrapNone/>
                      <wp:docPr id="104" name="Frame104"/>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center"/>
              <w:rPr/>
            </w:pPr>
            <w:r>
              <w:rPr/>
              <w:t>​</w:t>
            </w:r>
          </w:p>
        </w:tc>
        <w:tc>
          <w:tcPr>
            <w:tcW w:w="14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Useful Lives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10,064</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to 40 years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Recording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140,307</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to 10 years</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Vibrator energy sources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64,997</w:t>
            </w:r>
          </w:p>
        </w:tc>
        <w:tc>
          <w:tcPr>
            <w:tcW w:w="1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to 15 years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22,195</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to 10 years</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238,064</w:t>
            </w:r>
          </w:p>
        </w:tc>
        <w:tc>
          <w:tcPr>
            <w:tcW w:w="1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(225,085)</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12,979</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pBdr/>
        <w:bidi w:val="0"/>
        <w:spacing w:lineRule="auto" w:line="285" w:before="240" w:after="240"/>
        <w:ind w:left="0" w:right="0" w:hanging="720"/>
        <w:jc w:val="both"/>
        <w:rPr>
          <w:rFonts w:ascii="Times New Roman;Times;serif" w:hAnsi="Times New Roman;Times;serif"/>
          <w:b/>
          <w:sz w:val="20"/>
        </w:rPr>
      </w:pPr>
      <w:bookmarkStart w:id="581" w:name="Tc_XCEi1fTFIUq0BTeitDHKPQ_6_5"/>
      <w:bookmarkStart w:id="582" w:name="Tc_AKrvV4yHcEOnWOmEiQ1Pqg_6_2"/>
      <w:bookmarkStart w:id="583" w:name="Tc_XgtYoIZe2kaLDBP-7kjlRQ_6_0"/>
      <w:bookmarkStart w:id="584" w:name="Tc_TJC1DOW5ckmxmvyAPKeqhA_5_0"/>
      <w:bookmarkStart w:id="585" w:name="Tc_NQJhgy84pkSQoaTGFyedoA_4_0"/>
      <w:bookmarkStart w:id="586" w:name="Tc_8Kgl0j5znEOQpLws5nZQRQ_3_5"/>
      <w:bookmarkStart w:id="587" w:name="Tc_BxFCBP2IIUu9n1L6ijo-xw_3_2"/>
      <w:bookmarkStart w:id="588" w:name="Tc_mK99lo1Zb0KGSQkHBQ38dQ_3_0"/>
      <w:bookmarkStart w:id="589" w:name="Tc_hPrRby-s-k28ZF8e8dz6EA_2_5"/>
      <w:bookmarkStart w:id="590" w:name="Tc_B_ImhGwnv0W8Q32Nsivd8A_2_2"/>
      <w:bookmarkStart w:id="591" w:name="Tc_84-GZQ3lfk-Qtgjpb13fug_1_2"/>
      <w:bookmarkStart w:id="592" w:name="_f7e21a89_9946_45d4_854d_70beed4974ec"/>
      <w:bookmarkStart w:id="593" w:name="Tc_u2AKeVhj1UamcK4fW4oG6w_6_5"/>
      <w:bookmarkStart w:id="594" w:name="Tc_Cs223WYft0qy1UaWhUk6DA_6_2"/>
      <w:bookmarkStart w:id="595" w:name="Tc_Y3QASsHI1kmS3MIhLLF6Fw_6_0"/>
      <w:bookmarkStart w:id="596" w:name="Tc_GKcwcfxFDEu54RiXzbgwNQ_5_0"/>
      <w:bookmarkStart w:id="597" w:name="Tc_qXEP_QWsm0yjy5pBEIwVaw_4_0"/>
      <w:bookmarkStart w:id="598" w:name="Tc_VJ2qKc7upkmW4RBrcffAig_3_5"/>
      <w:bookmarkStart w:id="599" w:name="Tc_aGmhFgfcJ0q-ngMF8R7lmQ_3_2"/>
      <w:bookmarkStart w:id="600" w:name="Tc_v4oX3NhPTU-zzuxA5OKcNQ_3_0"/>
      <w:bookmarkStart w:id="601" w:name="Tc_owixt4hCIEqaKMMgiAxaEg_2_5"/>
      <w:bookmarkStart w:id="602" w:name="Tc_ROrlH8uHiUKduFwQrLx3Kw_2_2"/>
      <w:bookmarkStart w:id="603" w:name="Tc_uPGUllh7nkGiq81MckxjIw_1_2"/>
      <w:bookmarkStart w:id="604" w:name="_8562b015_1547_40b0_b4f9_00bc4517a80c"/>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Pr>
          <w:rFonts w:ascii="Times New Roman;Times;serif" w:hAnsi="Times New Roman;Times;serif"/>
          <w:b/>
          <w:sz w:val="20"/>
        </w:rPr>
        <w:t>6.           Supplemental Consolidated Financial Statement Information</w:t>
      </w:r>
    </w:p>
    <w:p>
      <w:pPr>
        <w:pStyle w:val="TextBody"/>
        <w:bidi w:val="0"/>
        <w:spacing w:lineRule="auto" w:line="285" w:before="240" w:after="240"/>
        <w:ind w:left="0" w:right="0" w:firstLine="720"/>
        <w:jc w:val="left"/>
        <w:rPr>
          <w:rFonts w:ascii="Times New Roman;Times;serif" w:hAnsi="Times New Roman;Times;serif"/>
          <w:b/>
          <w:i/>
          <w:sz w:val="20"/>
        </w:rPr>
      </w:pPr>
      <w:r>
        <w:rPr>
          <w:rFonts w:ascii="Times New Roman;Times;serif" w:hAnsi="Times New Roman;Times;serif"/>
          <w:b/>
          <w:i/>
          <w:sz w:val="20"/>
        </w:rPr>
        <w:t>Other Current Assets and Other Current Liabilities</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Prepaid expenses and other current assets consist of the following at December 31, 2025 and 2024 (in thousands):</w:t>
      </w:r>
    </w:p>
    <w:tbl>
      <w:tblPr>
        <w:tblW w:w="3937" w:type="dxa"/>
        <w:jc w:val="left"/>
        <w:tblInd w:w="0" w:type="dxa"/>
        <w:tblLayout w:type="fixed"/>
        <w:tblCellMar>
          <w:top w:w="0" w:type="dxa"/>
          <w:left w:w="0" w:type="dxa"/>
          <w:bottom w:w="0" w:type="dxa"/>
          <w:right w:w="0" w:type="dxa"/>
        </w:tblCellMar>
      </w:tblPr>
      <w:tblGrid>
        <w:gridCol w:w="1696"/>
        <w:gridCol w:w="346"/>
        <w:gridCol w:w="211"/>
        <w:gridCol w:w="511"/>
        <w:gridCol w:w="346"/>
        <w:gridCol w:w="211"/>
        <w:gridCol w:w="6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76960" cy="175260"/>
                      <wp:effectExtent l="0" t="0" r="0" b="0"/>
                      <wp:wrapNone/>
                      <wp:docPr id="105" name="Frame10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24485" cy="175260"/>
                      <wp:effectExtent l="0" t="0" r="0" b="0"/>
                      <wp:wrapNone/>
                      <wp:docPr id="108" name="Frame10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91160" cy="175260"/>
                      <wp:effectExtent l="0" t="0" r="0" b="0"/>
                      <wp:wrapNone/>
                      <wp:docPr id="111" name="Frame1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3,186</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Other current liabilities consisted of the following at December 31, 2025 and 2024 (in thousands): </w:t>
      </w:r>
    </w:p>
    <w:tbl>
      <w:tblPr>
        <w:tblW w:w="5827" w:type="dxa"/>
        <w:jc w:val="left"/>
        <w:tblInd w:w="0" w:type="dxa"/>
        <w:tblLayout w:type="fixed"/>
        <w:tblCellMar>
          <w:top w:w="0" w:type="dxa"/>
          <w:left w:w="0" w:type="dxa"/>
          <w:bottom w:w="0" w:type="dxa"/>
          <w:right w:w="0" w:type="dxa"/>
        </w:tblCellMar>
      </w:tblPr>
      <w:tblGrid>
        <w:gridCol w:w="3856"/>
        <w:gridCol w:w="346"/>
        <w:gridCol w:w="211"/>
        <w:gridCol w:w="376"/>
        <w:gridCol w:w="346"/>
        <w:gridCol w:w="211"/>
        <w:gridCol w:w="48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48560" cy="175260"/>
                      <wp:effectExtent l="0" t="0" r="0" b="0"/>
                      <wp:wrapNone/>
                      <wp:docPr id="112" name="Frame11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38760" cy="175260"/>
                      <wp:effectExtent l="0" t="0" r="0" b="0"/>
                      <wp:wrapNone/>
                      <wp:docPr id="115" name="Frame11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05435" cy="175260"/>
                      <wp:effectExtent l="0" t="0" r="0" b="0"/>
                      <wp:wrapNone/>
                      <wp:docPr id="118" name="Frame11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self-insurance reserves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accrued expenses and current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830</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i/>
          <w:sz w:val="20"/>
        </w:rPr>
      </w:pPr>
      <w:bookmarkStart w:id="605" w:name="Tc__608Di64AUyGtIGFP7aNag_6_4"/>
      <w:bookmarkStart w:id="606" w:name="Tc_YUiT84K3l0uxqdZ4ZHkEQA_6_1"/>
      <w:bookmarkStart w:id="607" w:name="Tc_2pIvaTZDdE6vGTvOlK83Fw_6_0"/>
      <w:bookmarkStart w:id="608" w:name="Tc_MdYjmhBoIU6nyybtS-qVCA_5_0"/>
      <w:bookmarkStart w:id="609" w:name="Tc_f5PnSmNSqUagdcpMWWTjiA_4_0"/>
      <w:bookmarkStart w:id="610" w:name="Tc_iSGDe1RVGEW532M1QmRSIQ_3_4"/>
      <w:bookmarkStart w:id="611" w:name="Tc__rmJCDJf0E-Zd47Xos7ucw_3_1"/>
      <w:bookmarkStart w:id="612" w:name="Tc_RwdnHrmLCEySRjPxuk0SAQ_3_0"/>
      <w:bookmarkStart w:id="613" w:name="Tc_lReQyqqehE-7NOeTuuNWVQ_1_4"/>
      <w:bookmarkStart w:id="614" w:name="Tc_3QTQ8_wjQ0KvZ3fKHLYa8g_1_1"/>
      <w:bookmarkStart w:id="615" w:name="_ca363f1d_eaf7_4dfd_b34a_63ea6271bbe2"/>
      <w:bookmarkStart w:id="616" w:name="Tc_thGz8bWga0y5aL2ThNi0kg_6_4"/>
      <w:bookmarkStart w:id="617" w:name="Tc_4m4XSU273EuZh1Oz5b3W6Q_6_1"/>
      <w:bookmarkStart w:id="618" w:name="Tc_nsIeDpSfEUiTIl0QXABalw_6_0"/>
      <w:bookmarkStart w:id="619" w:name="Tc_3MsjaRAKnUCOnzdm5Mr8Mg_5_0"/>
      <w:bookmarkStart w:id="620" w:name="Tc_CSlFro17Q0eL17Q4wZdZCg_4_0"/>
      <w:bookmarkStart w:id="621" w:name="Tc_nRa7EcXWu0Oev43Hn5f7hA_3_4"/>
      <w:bookmarkStart w:id="622" w:name="Tc_6CcUqRK44kC6nsHnCH8RvQ_3_1"/>
      <w:bookmarkStart w:id="623" w:name="Tc_PDsQpD7vf0asPT5M6hCtEA_3_0"/>
      <w:bookmarkStart w:id="624" w:name="Tc_04TgeKqrh0aDe8aul06xAA_1_4"/>
      <w:bookmarkStart w:id="625" w:name="Tc_uPcpL_FeKk6z6MDSXUJwlw_1_1"/>
      <w:bookmarkStart w:id="626" w:name="_e0f00c8c_8560_45eb_8614_e9c5643ff21f"/>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ascii="Times New Roman;Times;serif" w:hAnsi="Times New Roman;Times;serif"/>
          <w:b/>
          <w:i/>
          <w:sz w:val="20"/>
        </w:rPr>
        <w:t>Related Party Transactions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For the year ending December 31, 2025, the Company incurred related party expenses of $217,000 related to hauling charges.  During the year ended December 31, 2025, the Company maintained a revolving credit note with a related party finance company, further discussed in Note 7. These transactions occurred with various commonly controlled companies of Wilks Brothers, LLC, the holder of approximately 80% of the Company’s outstanding stock. As of December 31, 2025, the Company had approximately $32,000 of outstanding related party accounts payable.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year ending December 31, 2024, the Company incurred related party expenses of $187,000 related to hauling charges, $9,000 related to entertainment expenses and $6,000 related to the merger expenses paid to various commonly controlled companies of Wilks Brothers, LLC, For the year ended December 31, 2024, the Company recorded approximately $30,000 of related party revenue from a commonly controlled company of Wilks Brothers, LLC. As of December 31, 2024, the Company had approximately $26,000 of outstanding related party accounts payable and no outstanding related party accounts receivable. </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Deferred Costs and unbilled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and changes in contract assets, which include unbilled receivables and deferred costs (in thousands):</w:t>
      </w:r>
    </w:p>
    <w:tbl>
      <w:tblPr>
        <w:tblW w:w="9339" w:type="dxa"/>
        <w:jc w:val="left"/>
        <w:tblInd w:w="0" w:type="dxa"/>
        <w:tblLayout w:type="fixed"/>
        <w:tblCellMar>
          <w:top w:w="0" w:type="dxa"/>
          <w:left w:w="0" w:type="dxa"/>
          <w:bottom w:w="0" w:type="dxa"/>
          <w:right w:w="0" w:type="dxa"/>
        </w:tblCellMar>
      </w:tblPr>
      <w:tblGrid>
        <w:gridCol w:w="7651"/>
        <w:gridCol w:w="196"/>
        <w:gridCol w:w="511"/>
        <w:gridCol w:w="109"/>
        <w:gridCol w:w="196"/>
        <w:gridCol w:w="676"/>
      </w:tblGrid>
      <w:tr>
        <w:trPr/>
        <w:tc>
          <w:tcPr>
            <w:tcW w:w="7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858385" cy="175260"/>
                      <wp:effectExtent l="0" t="0" r="0" b="0"/>
                      <wp:wrapNone/>
                      <wp:docPr id="119" name="Frame119"/>
                      <a:graphic xmlns:a="http://schemas.openxmlformats.org/drawingml/2006/main">
                        <a:graphicData uri="http://schemas.microsoft.com/office/word/2010/wordprocessingShape">
                          <wps:wsp>
                            <wps:cNvSpPr txBox="1"/>
                            <wps:spPr>
                              <a:xfrm>
                                <a:off x="0" y="0"/>
                                <a:ext cx="485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24485" cy="175260"/>
                      <wp:effectExtent l="0" t="0" r="0" b="0"/>
                      <wp:wrapNone/>
                      <wp:docPr id="121" name="Frame12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51"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765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7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4,318</w:t>
            </w:r>
          </w:p>
        </w:tc>
      </w:tr>
      <w:tr>
        <w:trPr/>
        <w:tc>
          <w:tcPr>
            <w:tcW w:w="7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Billings and costs recognized in the current year that were included in the beginning balance</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(4,318)</w:t>
            </w:r>
          </w:p>
        </w:tc>
      </w:tr>
      <w:tr>
        <w:trPr/>
        <w:tc>
          <w:tcPr>
            <w:tcW w:w="7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deferred costs incurred related to uncompleted contracts at year end</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391</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amount of total deferred costs amortized for the years ended December 31, 2025 and 2024, was $15.8 million and $24.9 million, respectively. There were no material impairment losses incurred during these periods.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and changes in deferred revenue (in thousands):</w:t>
      </w:r>
    </w:p>
    <w:tbl>
      <w:tblPr>
        <w:tblW w:w="8739" w:type="dxa"/>
        <w:jc w:val="left"/>
        <w:tblInd w:w="0" w:type="dxa"/>
        <w:tblLayout w:type="fixed"/>
        <w:tblCellMar>
          <w:top w:w="0" w:type="dxa"/>
          <w:left w:w="0" w:type="dxa"/>
          <w:bottom w:w="0" w:type="dxa"/>
          <w:right w:w="0" w:type="dxa"/>
        </w:tblCellMar>
      </w:tblPr>
      <w:tblGrid>
        <w:gridCol w:w="6841"/>
        <w:gridCol w:w="196"/>
        <w:gridCol w:w="631"/>
        <w:gridCol w:w="109"/>
        <w:gridCol w:w="196"/>
        <w:gridCol w:w="766"/>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44035" cy="175260"/>
                      <wp:effectExtent l="0" t="0" r="0" b="0"/>
                      <wp:wrapNone/>
                      <wp:docPr id="125" name="Frame125"/>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00685" cy="175260"/>
                      <wp:effectExtent l="0" t="0" r="0" b="0"/>
                      <wp:wrapNone/>
                      <wp:docPr id="127" name="Frame1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9" name="Frame1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6410" cy="175260"/>
                      <wp:effectExtent l="0" t="0" r="0" b="0"/>
                      <wp:wrapNone/>
                      <wp:docPr id="130" name="Frame13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68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in the current year that was included in the beginning balance</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(11,829)</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unearned revenue related to uncompleted contracts at year end</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1,570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work is performed, revenue is recognized and the corresponding liability balance of deferred revenue is reduced. During the years ended December 31, 2025 and 2024, the Company recognized revenue of $8.4 million and $7.6 million, respectively, related to uncompleted contracts at December 31, 2025 and 2024, respectively.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bookmarkStart w:id="627" w:name="Tc_h6Uk_TFwI0CBmHYYdBaR1A_4_4"/>
      <w:bookmarkStart w:id="628" w:name="Tc_gktdnfJdPkyqgiX-1-ZyVA_4_1"/>
      <w:bookmarkStart w:id="629" w:name="Tc_znCj54UC6UG195bunlkd4w_4_0"/>
      <w:bookmarkStart w:id="630" w:name="Tc_PSfLjKdtXkaVcWBMoXidHA_3_4"/>
      <w:bookmarkStart w:id="631" w:name="Tc_k_tbku3SaESOGy4uvsnKQw_3_1"/>
      <w:bookmarkStart w:id="632" w:name="Tc_2jrGp3GjQ0uXxXlcE7bLYA_3_0"/>
      <w:bookmarkStart w:id="633" w:name="Tc_ElTdF4zJ1UiuCw2noBZw4w_1_4"/>
      <w:bookmarkStart w:id="634" w:name="Tc_it117oUeZkCYJwwTZIJkyw_1_1"/>
      <w:bookmarkStart w:id="635" w:name="_a7eb0e8e_4f53_44f3_ab5e_7605a4e160f0"/>
      <w:bookmarkEnd w:id="627"/>
      <w:bookmarkEnd w:id="628"/>
      <w:bookmarkEnd w:id="629"/>
      <w:bookmarkEnd w:id="630"/>
      <w:bookmarkEnd w:id="631"/>
      <w:bookmarkEnd w:id="632"/>
      <w:bookmarkEnd w:id="633"/>
      <w:bookmarkEnd w:id="634"/>
      <w:bookmarkEnd w:id="635"/>
      <w:r>
        <w:rPr>
          <w:rFonts w:ascii="Times New Roman;Times;serif" w:hAnsi="Times New Roman;Times;serif"/>
          <w:b/>
          <w:i/>
          <w:sz w:val="20"/>
        </w:rPr>
        <w:t xml:space="preserve">Accounts Receivable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accounts receivable (in thousands):</w:t>
      </w:r>
    </w:p>
    <w:tbl>
      <w:tblPr>
        <w:tblW w:w="3354" w:type="dxa"/>
        <w:jc w:val="left"/>
        <w:tblInd w:w="0" w:type="dxa"/>
        <w:tblLayout w:type="fixed"/>
        <w:tblCellMar>
          <w:top w:w="0" w:type="dxa"/>
          <w:left w:w="0" w:type="dxa"/>
          <w:bottom w:w="0" w:type="dxa"/>
          <w:right w:w="0" w:type="dxa"/>
        </w:tblCellMar>
      </w:tblPr>
      <w:tblGrid>
        <w:gridCol w:w="1696"/>
        <w:gridCol w:w="196"/>
        <w:gridCol w:w="511"/>
        <w:gridCol w:w="109"/>
        <w:gridCol w:w="196"/>
        <w:gridCol w:w="64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76960" cy="175260"/>
                      <wp:effectExtent l="0" t="0" r="0" b="0"/>
                      <wp:wrapNone/>
                      <wp:docPr id="131" name="Frame13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24485" cy="175260"/>
                      <wp:effectExtent l="0" t="0" r="0" b="0"/>
                      <wp:wrapNone/>
                      <wp:docPr id="133" name="Frame1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35" name="Frame1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10210" cy="175260"/>
                      <wp:effectExtent l="0" t="0" r="0" b="0"/>
                      <wp:wrapNone/>
                      <wp:docPr id="136" name="Frame13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6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12,735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9,970</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shd w:fill="FFFF00" w:val="clear"/>
        </w:rPr>
      </w:pPr>
      <w:r>
        <w:rPr>
          <w:shd w:fill="FFFF00" w:val="clear"/>
        </w:rPr>
        <w:t>​</w:t>
      </w:r>
    </w:p>
    <w:p>
      <w:pPr>
        <w:pStyle w:val="TextBody"/>
        <w:bidi w:val="0"/>
        <w:spacing w:lineRule="auto" w:line="314" w:before="0" w:after="120"/>
        <w:ind w:left="0" w:right="0" w:firstLine="490"/>
        <w:jc w:val="left"/>
        <w:rPr/>
      </w:pPr>
      <w:r>
        <w:rPr/>
        <w:t>​</w:t>
      </w:r>
    </w:p>
    <w:p>
      <w:pPr>
        <w:pStyle w:val="TextBody"/>
        <w:pBdr/>
        <w:bidi w:val="0"/>
        <w:spacing w:lineRule="auto" w:line="285" w:before="0" w:after="240"/>
        <w:ind w:left="0" w:right="0" w:hanging="720"/>
        <w:jc w:val="left"/>
        <w:rPr>
          <w:rFonts w:ascii="Times New Roman;Times;serif" w:hAnsi="Times New Roman;Times;serif"/>
          <w:b/>
          <w:sz w:val="20"/>
        </w:rPr>
      </w:pPr>
      <w:r>
        <w:rPr>
          <w:rFonts w:ascii="Times New Roman;Times;serif" w:hAnsi="Times New Roman;Times;serif"/>
          <w:b/>
          <w:sz w:val="20"/>
        </w:rPr>
        <w:t xml:space="preserve">7.           Debt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Equify Revolving Credit Note (related party)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31, 2025, Dawson Geophysical Company (the “Company”) and Dawson Operating LLC, a Texas limited liability company and a wholly owned subsidiary of the Company (“Dawson Operating” and together with the Company, the “Borrowers”), entered into a Revolving Credit Note (the “Revolving Credit Note”) in favor of Equify Financial, as lender (the “Lender”). Dan Wilks and Farris Wilks, together with certain of their affiliates, collectively hold a controlling interest in the Company and in Equify.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During the year ended December 31, 2025, the Company borrowed and repaid approximately $3.5 million on this revolving credit note. As of December 31, 2025 the Company accrued interest of $40,000 associated with this borrowing. As of December 31, 2025 the amount available to draw on this revolving credit note was approximately $4.9 million, and there were no amounts outstanding. The Borrowers may prepay up to 75% of the then outstanding principal and accrued but unpaid interest at any time without a prepayment fee.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obligations under the Revolving Credit Note are secured by a lien on the Company’s vibrator energy source vehicles, pursuant to a Security Agreement by and between the Company and Equify, dated as of October 31, 2025.</w:t>
      </w:r>
    </w:p>
    <w:p>
      <w:pPr>
        <w:pStyle w:val="TextBody"/>
        <w:bidi w:val="0"/>
        <w:spacing w:before="240" w:after="240"/>
        <w:ind w:left="0" w:right="0" w:firstLine="720"/>
        <w:jc w:val="both"/>
        <w:rPr>
          <w:rFonts w:ascii="Times New Roman;Times;serif" w:hAnsi="Times New Roman;Times;serif"/>
          <w:b/>
          <w:i/>
          <w:sz w:val="20"/>
        </w:rPr>
      </w:pPr>
      <w:r>
        <w:rPr>
          <w:rFonts w:ascii="Times New Roman;Times;serif" w:hAnsi="Times New Roman;Times;serif"/>
          <w:b/>
          <w:i/>
          <w:sz w:val="20"/>
        </w:rPr>
        <w:t>Letters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the Company had one letter of credit in the amount of $370,000 to support insurance policies for the Company. The letter of credit is secured by a certificate of deposit with First Financial Bank.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Other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the Company has five Geospace notes payable related to equipment purchases discussed in Note 3, totaling $14.7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the Company has two notes payable to finance companies for various insurance premiums totaling $258,000.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Company leases certain seismic recording equipment and vehicles under leases classified as finance leases. The Company’s Consolidated Balance Sheets as of December 31, 2025 and 2024 include finance lease liabilities of $2.6 million and $2.4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did not have any restricted cash during the year ended December 31, 2025. During the year ended December 31, 2024 the Company had a restricted cash deposit of $5 million that was released on May 2, 2024.</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i/>
          <w:sz w:val="20"/>
        </w:rPr>
      </w:pPr>
      <w:bookmarkStart w:id="636" w:name="Tc_K0y55RKLdkK1BgcSCpluPQ_6_2"/>
      <w:bookmarkStart w:id="637" w:name="Tc_vE6vSiU87kCXsK1Zivuv5w_5_0"/>
      <w:bookmarkStart w:id="638" w:name="Tc_C4r0BTCn20a77Nz1a1pj2g_4_0"/>
      <w:bookmarkStart w:id="639" w:name="Tc_304M0U2i_Ua4iitCtKN0Cg_3_0"/>
      <w:bookmarkStart w:id="640" w:name="Tc_PdAhO7_NXUyrhTzu5bPZKA_2_0"/>
      <w:bookmarkStart w:id="641" w:name="Tc_eAm15EZHgkKty4aAJEU-xQ_1_2"/>
      <w:bookmarkStart w:id="642" w:name="Tc_8jFld41mckOrHIYLJ1uo5w_1_0"/>
      <w:bookmarkStart w:id="643" w:name="_5dc540f4_9b44_413e_8b10_dfb261e64b7f"/>
      <w:bookmarkStart w:id="644" w:name="Tc_Qp9gguhv6kKhIP9XsraJ2A_4_2"/>
      <w:bookmarkStart w:id="645" w:name="Tc_KpK3JXFKBEWZL__tvNENIA_4_0"/>
      <w:bookmarkStart w:id="646" w:name="Tc_LEAkr271m0KwGX31swQ9lQ_3_0"/>
      <w:bookmarkStart w:id="647" w:name="Tc_FKsk7JBBGkGKbCCp_oS4XA_2_0"/>
      <w:bookmarkStart w:id="648" w:name="Tc_G5Yl6ulHrE20VTYHxZuKSQ_1_2"/>
      <w:bookmarkStart w:id="649" w:name="Tc_a6cOicNwY0uCf8kkSV611A_1_0"/>
      <w:bookmarkStart w:id="650" w:name="_a9fbec4f_87a8_4b24_99fe_56df5df06011"/>
      <w:bookmarkStart w:id="651" w:name="Tc_P8iYMHo5hEuAfg_pH2b_Eg_4_0"/>
      <w:bookmarkStart w:id="652" w:name="Tc_GdK4Fty3W0Cojb30w2gLbA_3_5"/>
      <w:bookmarkStart w:id="653" w:name="Tc_9mq4YKk-g0C5-sbr5arBEw_3_2"/>
      <w:bookmarkStart w:id="654" w:name="Tc_u4yki41CR0eskA-6Hsyq8g_3_0"/>
      <w:bookmarkStart w:id="655" w:name="Tc_W3AJQpYCc0WXjRPaXmKxnQ_2_0"/>
      <w:bookmarkStart w:id="656" w:name="Tc_BNVY_4JA90W9pvslcxP2Vw_1_5"/>
      <w:bookmarkStart w:id="657" w:name="Tc_cuCqfKhQ0E6u8N8AA1I7EQ_1_2"/>
      <w:bookmarkStart w:id="658" w:name="_d52d8d6a_26b4_423f_8f4a_76ae6b827022"/>
      <w:bookmarkStart w:id="659" w:name="Tc_EmmL2zlE8k698oWPd_hBFw_4_0"/>
      <w:bookmarkStart w:id="660" w:name="Tc_VwSAgLQHlkiY-HdXrX3RFw_3_6"/>
      <w:bookmarkStart w:id="661" w:name="Tc_An2JoV76YkywJzVBM-atvQ_3_0"/>
      <w:bookmarkStart w:id="662" w:name="Tc_KschyrfLI0GNSlL4FrIL5A_2_0"/>
      <w:bookmarkStart w:id="663" w:name="Tc_HHplHyA4dEyydkHEXZ789Q_1_5"/>
      <w:bookmarkStart w:id="664" w:name="Tc_DkSPn36WIUeKT6roOm7t8A_1_2"/>
      <w:bookmarkStart w:id="665" w:name="_67badfd9_e5b6_49f6_83bc_521521e97fe7"/>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i/>
          <w:sz w:val="20"/>
        </w:rPr>
        <w:t>Maturities of 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aggregate principal amount of outstanding notes payable and the interest rates and monthly payments as of December 31, 2025 and 2024 are as follows (in thousands):</w:t>
      </w:r>
    </w:p>
    <w:tbl>
      <w:tblPr>
        <w:tblW w:w="7359" w:type="dxa"/>
        <w:jc w:val="left"/>
        <w:tblInd w:w="0" w:type="dxa"/>
        <w:tblLayout w:type="fixed"/>
        <w:tblCellMar>
          <w:top w:w="0" w:type="dxa"/>
          <w:left w:w="0" w:type="dxa"/>
          <w:bottom w:w="0" w:type="dxa"/>
          <w:right w:w="0" w:type="dxa"/>
        </w:tblCellMar>
      </w:tblPr>
      <w:tblGrid>
        <w:gridCol w:w="3421"/>
        <w:gridCol w:w="346"/>
        <w:gridCol w:w="214"/>
        <w:gridCol w:w="1332"/>
        <w:gridCol w:w="346"/>
        <w:gridCol w:w="370"/>
        <w:gridCol w:w="117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72335" cy="175260"/>
                      <wp:effectExtent l="0" t="0" r="0" b="0"/>
                      <wp:wrapNone/>
                      <wp:docPr id="137" name="Frame13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5890" cy="175260"/>
                      <wp:effectExtent l="0" t="0" r="0" b="0"/>
                      <wp:wrapNone/>
                      <wp:docPr id="139" name="Frame13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45820" cy="175260"/>
                      <wp:effectExtent l="0" t="0" r="0" b="0"/>
                      <wp:wrapNone/>
                      <wp:docPr id="140" name="Frame140"/>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4950" cy="175260"/>
                      <wp:effectExtent l="0" t="0" r="0" b="0"/>
                      <wp:wrapNone/>
                      <wp:docPr id="142" name="Frame14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46760" cy="175260"/>
                      <wp:effectExtent l="0" t="0" r="0" b="0"/>
                      <wp:wrapNone/>
                      <wp:docPr id="143" name="Frame143"/>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7790" cy="175260"/>
                      <wp:effectExtent l="0" t="0" r="0" b="0"/>
                      <wp:wrapNone/>
                      <wp:docPr id="144" name="Frame1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Geospace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332"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left"/>
              <w:rPr/>
            </w:pPr>
            <w:r>
              <w:rPr/>
              <w:t>  ​ ​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14,731</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240"/>
        <w:ind w:left="0" w:right="0" w:firstLine="720"/>
        <w:jc w:val="both"/>
        <w:rPr/>
      </w:pPr>
      <w:r>
        <w:rPr/>
        <w:t>​</w:t>
      </w:r>
    </w:p>
    <w:tbl>
      <w:tblPr>
        <w:tblW w:w="7613" w:type="dxa"/>
        <w:jc w:val="left"/>
        <w:tblInd w:w="0" w:type="dxa"/>
        <w:tblLayout w:type="fixed"/>
        <w:tblCellMar>
          <w:top w:w="0" w:type="dxa"/>
          <w:left w:w="0" w:type="dxa"/>
          <w:bottom w:w="0" w:type="dxa"/>
          <w:right w:w="0" w:type="dxa"/>
        </w:tblCellMar>
      </w:tblPr>
      <w:tblGrid>
        <w:gridCol w:w="4021"/>
        <w:gridCol w:w="346"/>
        <w:gridCol w:w="516"/>
        <w:gridCol w:w="1030"/>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553335" cy="175260"/>
                      <wp:effectExtent l="0" t="0" r="0" b="0"/>
                      <wp:wrapNone/>
                      <wp:docPr id="145" name="Frame14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27660" cy="175260"/>
                      <wp:effectExtent l="0" t="0" r="0" b="0"/>
                      <wp:wrapNone/>
                      <wp:docPr id="147" name="Frame147"/>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4050" cy="175260"/>
                      <wp:effectExtent l="0" t="0" r="0" b="0"/>
                      <wp:wrapNone/>
                      <wp:docPr id="148" name="Frame14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14325" cy="175260"/>
                      <wp:effectExtent l="0" t="0" r="0" b="0"/>
                      <wp:wrapNone/>
                      <wp:docPr id="150" name="Frame150"/>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5960" cy="175260"/>
                      <wp:effectExtent l="0" t="0" r="0" b="0"/>
                      <wp:wrapNone/>
                      <wp:docPr id="151" name="Frame1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109"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6.35% to 9.47%</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Company’s aggregate maturities of notes payable at December 31, 2025 are as follows (in thousands):</w:t>
      </w:r>
    </w:p>
    <w:p>
      <w:pPr>
        <w:pStyle w:val="TextBody"/>
        <w:bidi w:val="0"/>
        <w:spacing w:before="0" w:after="0"/>
        <w:ind w:left="0" w:right="0" w:hanging="0"/>
        <w:jc w:val="left"/>
        <w:rPr/>
      </w:pPr>
      <w:r>
        <w:rPr/>
        <w:t>​</w:t>
      </w:r>
    </w:p>
    <w:tbl>
      <w:tblPr>
        <w:tblW w:w="4129" w:type="dxa"/>
        <w:jc w:val="left"/>
        <w:tblInd w:w="0" w:type="dxa"/>
        <w:tblLayout w:type="fixed"/>
        <w:tblCellMar>
          <w:top w:w="0" w:type="dxa"/>
          <w:left w:w="0" w:type="dxa"/>
          <w:bottom w:w="0" w:type="dxa"/>
          <w:right w:w="0" w:type="dxa"/>
        </w:tblCellMar>
      </w:tblPr>
      <w:tblGrid>
        <w:gridCol w:w="2761"/>
        <w:gridCol w:w="109"/>
        <w:gridCol w:w="211"/>
        <w:gridCol w:w="676"/>
        <w:gridCol w:w="109"/>
        <w:gridCol w:w="109"/>
        <w:gridCol w:w="154"/>
      </w:tblGrid>
      <w:tr>
        <w:trPr/>
        <w:tc>
          <w:tcPr>
            <w:tcW w:w="2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7790" cy="175260"/>
                      <wp:effectExtent l="0" t="0" r="0" b="0"/>
                      <wp:wrapNone/>
                      <wp:docPr id="157" name="Frame1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2026 - December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2027 - December 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2028 - December 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Company’s aggregate maturities of finance leases at December 31, 2025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62585" cy="175260"/>
                      <wp:effectExtent l="0" t="0" r="0" b="0"/>
                      <wp:wrapNone/>
                      <wp:docPr id="160" name="Frame1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7790" cy="175260"/>
                      <wp:effectExtent l="0" t="0" r="0" b="0"/>
                      <wp:wrapNone/>
                      <wp:docPr id="163" name="Frame1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2026 - December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2027 - December 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2028 - December 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2029 - December 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2030 - December 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Interest rates on these leases ranged from 4.86% to 8.74%.</w:t>
      </w:r>
    </w:p>
    <w:p>
      <w:pPr>
        <w:pStyle w:val="TextBody"/>
        <w:pBdr/>
        <w:bidi w:val="0"/>
        <w:spacing w:lineRule="auto" w:line="285" w:before="240" w:after="240"/>
        <w:ind w:left="0" w:right="0" w:hanging="720"/>
        <w:jc w:val="both"/>
        <w:rPr>
          <w:rFonts w:ascii="Times New Roman;Times;serif" w:hAnsi="Times New Roman;Times;serif"/>
          <w:b/>
          <w:sz w:val="20"/>
        </w:rPr>
      </w:pPr>
      <w:r>
        <w:rPr>
          <w:rFonts w:ascii="Times New Roman;Times;serif" w:hAnsi="Times New Roman;Times;serif"/>
          <w:b/>
          <w:sz w:val="20"/>
        </w:rPr>
        <w:t>8.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certain vehicles, seismic recording equipment, real property and office equipment under lease agreements. The Company evaluates each lease to determine its appropriate classification as an operating lease or finance lease for financial reporting purposes. The Company is the lessee in a lease contract when we obtain the right to control the asset. The majority of our operating leases are non-cancelable operating leases for office, shop and warehouse space in Midland and Plano, Texas and Calgary and Wheatland County, Alberta.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666" w:name="Tc_NnV76x3eeEaCdb5FvFFBXQ_25_0"/>
      <w:bookmarkStart w:id="667" w:name="Tc_a3i5537ZkU6cAhP3NzCKAQ_24_0"/>
      <w:bookmarkStart w:id="668" w:name="Tc_KF_v-aXKMUeNYgTltl6zrg_23_0"/>
      <w:bookmarkStart w:id="669" w:name="Tc_83zxuvRmGkq8e5SSVML3HA_21_6"/>
      <w:bookmarkStart w:id="670" w:name="Tc_HWCa9MwFZUKmcWCZ4RYrAA_21_3"/>
      <w:bookmarkStart w:id="671" w:name="Tc_cuNpk3eV7Um1XZXlHJJzLw_21_0"/>
      <w:bookmarkStart w:id="672" w:name="Tc_zLPRGZNSoE-YitJBLIAMJg_20_6"/>
      <w:bookmarkStart w:id="673" w:name="Tc_GGyPDAXPhUiDdPu7ahMZ-g_20_3"/>
      <w:bookmarkStart w:id="674" w:name="Tc_D2BxDB4c9EGIchWTzqzByw_20_0"/>
      <w:bookmarkStart w:id="675" w:name="Tc_pPDu8TeuFki4wJuV5027sA_19_0"/>
      <w:bookmarkStart w:id="676" w:name="Tc_ynMKqDwx3UGrW0qTXDdGhw_17_5"/>
      <w:bookmarkStart w:id="677" w:name="Tc_XxMsd7WifkqUeXpLvxZdhQ_17_2"/>
      <w:bookmarkStart w:id="678" w:name="Tc_j4bB5MbndkqEYM1iKffFBQ_17_0"/>
      <w:bookmarkStart w:id="679" w:name="Tc_-O4AJcDieEyIslmnWFGlIw_15_5"/>
      <w:bookmarkStart w:id="680" w:name="Tc_PjqOOK9XJUyh-dbbc2aXVA_15_2"/>
      <w:bookmarkStart w:id="681" w:name="Tc_KxInSmGyV0m-euVZRndBnA_13_5"/>
      <w:bookmarkStart w:id="682" w:name="Tc_dknLnuXimEq21yxqj0YDHA_13_2"/>
      <w:bookmarkStart w:id="683" w:name="Tc_nLagXcwupUa_-DVyXx1-IA_12_0"/>
      <w:bookmarkStart w:id="684" w:name="Tc_8_LIrEGQFEKFa1oUCjzBxw_11_5"/>
      <w:bookmarkStart w:id="685" w:name="Tc_gknnHicu90Okmmzvp-zHGw_11_2"/>
      <w:bookmarkStart w:id="686" w:name="Tc_vcvueofTKkmv8RSiqSmmJA_11_0"/>
      <w:bookmarkStart w:id="687" w:name="Tc_I2etfCJLwUGOyx6JRfGJvA_10_0"/>
      <w:bookmarkStart w:id="688" w:name="Tc_JNnzSZq63UOvHqrO9fsZOA_8_5"/>
      <w:bookmarkStart w:id="689" w:name="Tc_ujmfYbk4AEuNDFU_x0IFiA_8_2"/>
      <w:bookmarkStart w:id="690" w:name="Tc_WhQrshHAMEmUxt24l4KkYQ_8_0"/>
      <w:bookmarkStart w:id="691" w:name="Tc_CZ60D3K34kC5y9Rp3NPICA_7_0"/>
      <w:bookmarkStart w:id="692" w:name="Tc_kSF4psWV30Sl1iZneUVEyA_6_5"/>
      <w:bookmarkStart w:id="693" w:name="Tc_CjBmtDGg30iZR6be-D_fpg_6_2"/>
      <w:bookmarkStart w:id="694" w:name="Tc_hE15Ck7s-UGKmXuIGSgxhg_6_0"/>
      <w:bookmarkStart w:id="695" w:name="Tc__48Og0kV4EeTgfVlCF1DWg_4_5"/>
      <w:bookmarkStart w:id="696" w:name="Tc_2kmOUk9GwkuBQuw33nfDeg_4_2"/>
      <w:bookmarkStart w:id="697" w:name="Tc_oh6pYdKkNEiWoXY4GrMa1w_4_0"/>
      <w:bookmarkStart w:id="698" w:name="Tc_HGTYlgFk_U2RxWSCNRSmgQ_3_0"/>
      <w:bookmarkStart w:id="699" w:name="Tc_JYGxeYCCe0CwrHrfy05Akw_2_5"/>
      <w:bookmarkStart w:id="700" w:name="Tc_likgZ_wigEO_950Df6QVww_2_2"/>
      <w:bookmarkStart w:id="701" w:name="Tc_OURCkfuvV067ZiwfHuMC8Q_1_2"/>
      <w:bookmarkStart w:id="702" w:name="_0924b554_ebe4_4e1c_af58_14a70cb2a1cb"/>
      <w:bookmarkStart w:id="703" w:name="Tc_2nAT7YX5nkW37r19t-vjLA_9_5"/>
      <w:bookmarkStart w:id="704" w:name="Tc_78-I-o7s6UyoNLFLYGdV8A_9_2"/>
      <w:bookmarkStart w:id="705" w:name="Tc_lph9O33uvUWNP3isp3qbVQ_9_0"/>
      <w:bookmarkStart w:id="706" w:name="Tc_DE9gOSV28Ui4Dd5RSjAr9Q_8_5"/>
      <w:bookmarkStart w:id="707" w:name="Tc_L_KcbJvHNk2wrGmncv263g_8_2"/>
      <w:bookmarkStart w:id="708" w:name="Tc_pBAICuf4eUyQ3s7PMZH1Aw_8_0"/>
      <w:bookmarkStart w:id="709" w:name="Tc_maLB2OiCCEapJn9Tc-cfZA_7_0"/>
      <w:bookmarkStart w:id="710" w:name="Tc_VZdahcRYYEGuCZy8dixY0g_6_5"/>
      <w:bookmarkStart w:id="711" w:name="Tc_hzAqsUE5S0GHbwQiKMbHaQ_6_2"/>
      <w:bookmarkStart w:id="712" w:name="Tc_aoNHaLqP0Eyl1jPb0KGf7g_6_0"/>
      <w:bookmarkStart w:id="713" w:name="Tc_xGcHSQTGPE2uHwZWWg0uJA_5_5"/>
      <w:bookmarkStart w:id="714" w:name="Tc_RTMB6Kim20ehTqNdQZVUfQ_5_2"/>
      <w:bookmarkStart w:id="715" w:name="Tc_EiYObGol9kyHlsZAIMnj2w_5_0"/>
      <w:bookmarkStart w:id="716" w:name="Tc_O8u7vyuHJkemTqMQIDXCQQ_4_5"/>
      <w:bookmarkStart w:id="717" w:name="Tc_pMbundo9okeihnYkc1r9rQ_4_2"/>
      <w:bookmarkStart w:id="718" w:name="Tc_K4KjYvNiWU2T8dizb5tRuA_4_0"/>
      <w:bookmarkStart w:id="719" w:name="Tc_D9x0XvYTVUWSzQcHPQ8Hiw_3_0"/>
      <w:bookmarkStart w:id="720" w:name="Tc_nk0T68qV-0q-D_OXfA1DrQ_2_5"/>
      <w:bookmarkStart w:id="721" w:name="Tc_hmy6q__v0E2MU4qs03_crg_2_2"/>
      <w:bookmarkStart w:id="722" w:name="Tc_EaRo-wh-CUu1OfSGUFI2sA_1_2"/>
      <w:bookmarkStart w:id="723" w:name="_2e0eb494_8bd3_4c22_93e1_ffbf3ac670fa"/>
      <w:bookmarkStart w:id="724" w:name="Tc_LqBIQ8Yfqk67zREB_57GFw_11_5"/>
      <w:bookmarkStart w:id="725" w:name="Tc_xvatOvLsjUy5KheWZFHc-g_11_2"/>
      <w:bookmarkStart w:id="726" w:name="Tc_QCHHRQvfH0m6nwunZFQE9w_11_0"/>
      <w:bookmarkStart w:id="727" w:name="Tc_04LDtd-6UEeI5nOCa_BAjg_10_6"/>
      <w:bookmarkStart w:id="728" w:name="Tc_PbtRBV1ubkSCdievKHAFCg_10_3"/>
      <w:bookmarkStart w:id="729" w:name="Tc_ZCqF11phzEqmDXgIat0ojA_10_0"/>
      <w:bookmarkStart w:id="730" w:name="Tc_DLGusWRwxUSNG8Eo8xCEmA_8_0"/>
      <w:bookmarkStart w:id="731" w:name="Tc_Rs9Y4FpQKE-B7dOR-Fc1xw_6_0"/>
      <w:bookmarkStart w:id="732" w:name="Tc_CZS6mjrrTEGEPphePv0WwQ_5_0"/>
      <w:bookmarkStart w:id="733" w:name="Tc_Us3SsQl8AkSXR17RAnuDpg_4_5"/>
      <w:bookmarkStart w:id="734" w:name="Tc_0MExFYfeUECNwJWJxzyz_Q_4_2"/>
      <w:bookmarkStart w:id="735" w:name="Tc_Bu0P6F7h0ES7naTW6-F4YQ_4_0"/>
      <w:bookmarkStart w:id="736" w:name="Tc_Qq-X0OGIDE23BeVhbo77HA_3_0"/>
      <w:bookmarkStart w:id="737" w:name="Tc_AYM8Rqrtp0yY49wsA-9mWA_2_5"/>
      <w:bookmarkStart w:id="738" w:name="Tc_k9w9BwGOQUSsylA4RvP1KA_2_2"/>
      <w:bookmarkStart w:id="739" w:name="Tc_6ydLYZ4UakyjOddXjqWhEA_1_2"/>
      <w:bookmarkStart w:id="740" w:name="_06856703_6e40_4c84_b704_d95bfc46304e"/>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sz w:val="20"/>
        </w:rPr>
        <w:t>The components of lease cost for the years ended December 31, 2025 and 2024 were as follows (in thousands):</w:t>
      </w:r>
    </w:p>
    <w:tbl>
      <w:tblPr>
        <w:tblW w:w="5300" w:type="dxa"/>
        <w:jc w:val="left"/>
        <w:tblInd w:w="0" w:type="dxa"/>
        <w:tblLayout w:type="fixed"/>
        <w:tblCellMar>
          <w:top w:w="0" w:type="dxa"/>
          <w:left w:w="0" w:type="dxa"/>
          <w:bottom w:w="0" w:type="dxa"/>
          <w:right w:w="0" w:type="dxa"/>
        </w:tblCellMar>
      </w:tblPr>
      <w:tblGrid>
        <w:gridCol w:w="2986"/>
        <w:gridCol w:w="109"/>
        <w:gridCol w:w="231"/>
        <w:gridCol w:w="625"/>
        <w:gridCol w:w="378"/>
        <w:gridCol w:w="231"/>
        <w:gridCol w:w="740"/>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96110" cy="175260"/>
                      <wp:effectExtent l="0" t="0" r="0" b="0"/>
                      <wp:wrapNone/>
                      <wp:docPr id="164" name="Frame16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6685" cy="175260"/>
                      <wp:effectExtent l="0" t="0" r="0" b="0"/>
                      <wp:wrapNone/>
                      <wp:docPr id="166" name="Frame16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6875" cy="175260"/>
                      <wp:effectExtent l="0" t="0" r="0" b="0"/>
                      <wp:wrapNone/>
                      <wp:docPr id="167" name="Frame16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0030" cy="175260"/>
                      <wp:effectExtent l="0" t="0" r="0" b="0"/>
                      <wp:wrapNone/>
                      <wp:docPr id="168" name="Frame168"/>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6685" cy="175260"/>
                      <wp:effectExtent l="0" t="0" r="0" b="0"/>
                      <wp:wrapNone/>
                      <wp:docPr id="169" name="Frame16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9900" cy="175260"/>
                      <wp:effectExtent l="0" t="0" r="0" b="0"/>
                      <wp:wrapNone/>
                      <wp:docPr id="170" name="Frame170"/>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78" w:type="dxa"/>
            <w:tcBorders/>
            <w:vAlign w:val="center"/>
          </w:tcPr>
          <w:p>
            <w:pPr>
              <w:pStyle w:val="TableContents"/>
              <w:bidi w:val="0"/>
              <w:spacing w:before="0" w:after="0"/>
              <w:ind w:left="0" w:right="0" w:hanging="0"/>
              <w:jc w:val="left"/>
              <w:rPr/>
            </w:pPr>
            <w:r>
              <w:rPr/>
              <w:t>  ​ ​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finance lease assets</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cost</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1,961</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related to leases for the years ended December 31, 2025 and 2024 was as follows (in thousands):</w:t>
      </w:r>
    </w:p>
    <w:tbl>
      <w:tblPr>
        <w:tblW w:w="8356" w:type="dxa"/>
        <w:jc w:val="left"/>
        <w:tblInd w:w="0" w:type="dxa"/>
        <w:tblLayout w:type="fixed"/>
        <w:tblCellMar>
          <w:top w:w="0" w:type="dxa"/>
          <w:left w:w="0" w:type="dxa"/>
          <w:bottom w:w="0" w:type="dxa"/>
          <w:right w:w="0" w:type="dxa"/>
        </w:tblCellMar>
      </w:tblPr>
      <w:tblGrid>
        <w:gridCol w:w="5806"/>
        <w:gridCol w:w="346"/>
        <w:gridCol w:w="212"/>
        <w:gridCol w:w="694"/>
        <w:gridCol w:w="347"/>
        <w:gridCol w:w="212"/>
        <w:gridCol w:w="739"/>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86810" cy="175260"/>
                      <wp:effectExtent l="0" t="0" r="0" b="0"/>
                      <wp:wrapNone/>
                      <wp:docPr id="171" name="Frame171"/>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4620" cy="175260"/>
                      <wp:effectExtent l="0" t="0" r="0" b="0"/>
                      <wp:wrapNone/>
                      <wp:docPr id="173" name="Frame17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40690" cy="175260"/>
                      <wp:effectExtent l="0" t="0" r="0" b="0"/>
                      <wp:wrapNone/>
                      <wp:docPr id="174" name="Frame174"/>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0345" cy="175260"/>
                      <wp:effectExtent l="0" t="0" r="0" b="0"/>
                      <wp:wrapNone/>
                      <wp:docPr id="175" name="Frame17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4620" cy="175260"/>
                      <wp:effectExtent l="0" t="0" r="0" b="0"/>
                      <wp:wrapNone/>
                      <wp:docPr id="176" name="Frame17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69265" cy="175260"/>
                      <wp:effectExtent l="0" t="0" r="0" b="0"/>
                      <wp:wrapNone/>
                      <wp:docPr id="177" name="Frame17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7" w:type="dxa"/>
            <w:tcBorders/>
            <w:vAlign w:val="center"/>
          </w:tcPr>
          <w:p>
            <w:pPr>
              <w:pStyle w:val="TableContents"/>
              <w:bidi w:val="0"/>
              <w:spacing w:before="0" w:after="0"/>
              <w:ind w:left="0" w:right="0" w:hanging="0"/>
              <w:jc w:val="left"/>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47"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7"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from finance leases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47"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615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212"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7"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47"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1,326</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Supplemental balance sheet information related to leases as of December 31, 2025 and 2024 was as follows (in thousands):</w:t>
      </w:r>
    </w:p>
    <w:p>
      <w:pPr>
        <w:pStyle w:val="TextBody"/>
        <w:bidi w:val="0"/>
        <w:spacing w:before="0" w:after="0"/>
        <w:ind w:left="0" w:right="0" w:hanging="0"/>
        <w:jc w:val="left"/>
        <w:rPr/>
      </w:pPr>
      <w:r>
        <w:rPr/>
        <w:t>​</w:t>
      </w:r>
    </w:p>
    <w:tbl>
      <w:tblPr>
        <w:tblW w:w="5890" w:type="dxa"/>
        <w:jc w:val="left"/>
        <w:tblInd w:w="0" w:type="dxa"/>
        <w:tblLayout w:type="fixed"/>
        <w:tblCellMar>
          <w:top w:w="0" w:type="dxa"/>
          <w:left w:w="0" w:type="dxa"/>
          <w:bottom w:w="0" w:type="dxa"/>
          <w:right w:w="0" w:type="dxa"/>
        </w:tblCellMar>
      </w:tblPr>
      <w:tblGrid>
        <w:gridCol w:w="3316"/>
        <w:gridCol w:w="109"/>
        <w:gridCol w:w="211"/>
        <w:gridCol w:w="826"/>
        <w:gridCol w:w="346"/>
        <w:gridCol w:w="211"/>
        <w:gridCol w:w="87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05660" cy="175260"/>
                      <wp:effectExtent l="0" t="0" r="0" b="0"/>
                      <wp:wrapNone/>
                      <wp:docPr id="178" name="Frame17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24510" cy="175260"/>
                      <wp:effectExtent l="0" t="0" r="0" b="0"/>
                      <wp:wrapNone/>
                      <wp:docPr id="181" name="Frame1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53085" cy="175260"/>
                      <wp:effectExtent l="0" t="0" r="0" b="0"/>
                      <wp:wrapNone/>
                      <wp:docPr id="184" name="Frame18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r>
      <w:tr>
        <w:trPr/>
        <w:tc>
          <w:tcPr>
            <w:tcW w:w="3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current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w:t>
            </w:r>
          </w:p>
        </w:tc>
      </w:tr>
      <w:tr>
        <w:trPr/>
        <w:tc>
          <w:tcPr>
            <w:tcW w:w="3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at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 long-term</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 years</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 years</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6.44%</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741" w:name="Tc_hkoQqHw4H02iLAEUYzDlmA_12_5"/>
      <w:bookmarkStart w:id="742" w:name="Tc_We_K1IWOEUaaMloIXDEEaQ_12_2"/>
      <w:bookmarkStart w:id="743" w:name="Tc_qn_9NRF1XESCItzPtN-EUw_12_0"/>
      <w:bookmarkStart w:id="744" w:name="Tc__ocWYD-n50u1gOebm7JZ6Q_10_0"/>
      <w:bookmarkStart w:id="745" w:name="Tc_eD8-kUoQB0CaJC5FI8RwKQ_8_0"/>
      <w:bookmarkStart w:id="746" w:name="Tc_kaGhM3sBgk-dYVMcD4aQIA_7_6"/>
      <w:bookmarkStart w:id="747" w:name="Tc_KuRHkxWnRUe8JAg1j42sBg_7_3"/>
      <w:bookmarkStart w:id="748" w:name="Tc_4I_px0crMUKTIqmZ1dDNUQ_7_0"/>
      <w:bookmarkStart w:id="749" w:name="Tc_7RffxmQTDEqQgCG-OushEg_6_0"/>
      <w:bookmarkStart w:id="750" w:name="Tc_IWN6qecuEESGfJV_mHJm8g_5_0"/>
      <w:bookmarkStart w:id="751" w:name="Tc_1ZVtOBfiHkKY74-FAbR0WA_4_0"/>
      <w:bookmarkStart w:id="752" w:name="Tc_XzIlCjm3gUueIpYR-jigAA_3_0"/>
      <w:bookmarkStart w:id="753" w:name="Tc_aq0Fz2I80kmL_Nymfw23mg_2_5"/>
      <w:bookmarkStart w:id="754" w:name="Tc_wqw9_d7VoUil6SQTf3AijQ_2_2"/>
      <w:bookmarkStart w:id="755" w:name="Tc_c4l24ucLskSeN9RSF5uFYQ_2_0"/>
      <w:bookmarkStart w:id="756" w:name="Tc_4szt7hE_ZUmUDitTbGw_2g_1_5"/>
      <w:bookmarkStart w:id="757" w:name="Tc_CgBw5fkPK0eyhmUaAqBtlg_1_2"/>
      <w:bookmarkStart w:id="758" w:name="_e0562daf_2b0b_4282_8dc6_662989663ca2"/>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sz w:val="20"/>
        </w:rPr>
        <w:t>Maturities of lease liabilities at December 31, 2025 are as follows (in thousands):</w:t>
      </w:r>
    </w:p>
    <w:tbl>
      <w:tblPr>
        <w:tblW w:w="6264" w:type="dxa"/>
        <w:jc w:val="left"/>
        <w:tblInd w:w="0" w:type="dxa"/>
        <w:tblLayout w:type="fixed"/>
        <w:tblCellMar>
          <w:top w:w="0" w:type="dxa"/>
          <w:left w:w="0" w:type="dxa"/>
          <w:bottom w:w="0" w:type="dxa"/>
          <w:right w:w="0" w:type="dxa"/>
        </w:tblCellMar>
      </w:tblPr>
      <w:tblGrid>
        <w:gridCol w:w="3301"/>
        <w:gridCol w:w="109"/>
        <w:gridCol w:w="388"/>
        <w:gridCol w:w="1052"/>
        <w:gridCol w:w="109"/>
        <w:gridCol w:w="310"/>
        <w:gridCol w:w="995"/>
      </w:tblGrid>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6380" cy="175260"/>
                      <wp:effectExtent l="0" t="0" r="0" b="0"/>
                      <wp:wrapNone/>
                      <wp:docPr id="186" name="Frame18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8020" cy="175260"/>
                      <wp:effectExtent l="0" t="0" r="0" b="0"/>
                      <wp:wrapNone/>
                      <wp:docPr id="187" name="Frame187"/>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96850" cy="175260"/>
                      <wp:effectExtent l="0" t="0" r="0" b="0"/>
                      <wp:wrapNone/>
                      <wp:docPr id="189" name="Frame18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31825" cy="175260"/>
                      <wp:effectExtent l="0" t="0" r="0" b="0"/>
                      <wp:wrapNone/>
                      <wp:docPr id="190" name="Frame190"/>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Operating Leases</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Finance Leases</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2026 - December 2026</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2027 - December 2027</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2028 - December 2028</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2029 - December 2029</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2030 - December 2030</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payments under lease agreements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2,567</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sz w:val="20"/>
        </w:rPr>
      </w:pPr>
      <w:bookmarkStart w:id="759" w:name="Tc_3esDVngHykaeZLKVDELORQ_5_5"/>
      <w:bookmarkStart w:id="760" w:name="Tc_Z-WE-IpkEUu5miiuZE8wuQ_5_2"/>
      <w:bookmarkStart w:id="761" w:name="Tc_99FtdqCUV0mLilCLOkMN-A_5_0"/>
      <w:bookmarkStart w:id="762" w:name="Tc_SBENjX_WLUyQjftVXKcmKA_4_0"/>
      <w:bookmarkStart w:id="763" w:name="Tc_0jnJza2FJEuew_OleMBYWg_3_5"/>
      <w:bookmarkStart w:id="764" w:name="Tc_T_NOyCzwE0umD-lIhJfKRw_3_2"/>
      <w:bookmarkStart w:id="765" w:name="Tc_wWGLtDJDM0OgAKJ4yHHisw_3_0"/>
      <w:bookmarkStart w:id="766" w:name="Tc__upby56zFEq5Ymag8o5lZg_2_5"/>
      <w:bookmarkStart w:id="767" w:name="Tc_WDiEM9LDOkaLSHfYZ_cpMg_2_2"/>
      <w:bookmarkStart w:id="768" w:name="Tc_xE35vdtl7EutYbI8ASc6ug_1_2"/>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9.           Stock-Based Compensation</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date of its effectiveness on May 5, 2016, the Company issues new grants of stock-based awards pursuant to the Dawson Geophysical Company 2016 Stock and Performance Incentive Plan (the “2016 Plan”). All of the Company’s prior plans have expired pursuant to their terms and no awards previously granted under prior plans remain outstanding. The awards outstanding and available under the 2016 Plan, as restated in 2020, and their associated accounting treatment are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2016, the Company adopted the 2016 Plan, which provides for the issuance of up to 1,000,000 shares of authorized Company common stock, which authorized amount was increased to 1,050,000 as a result of the 5% stock dividend approved by the Board on May 1, 2018. At the annual shareholders’ meeting on June 9, 2020, the Company’s shareholders approved a restated version of the 2016 Plan (the “Restated 2016 Plan”), which authorized an additional 1,000,000 shares. The total aggregate numbers of shares of Common Stock reserved under the Restated 2016 Plan is 2,050,000 shares. As of December 31, 2025, there were approximately 773,976 shares available for future issuance. The Restated 2016 Plan provides for the issuance of stock-based compensation awards, including stock options, common stock, restricted stock, restricted stock units and other forms. Stock option grant prices awarded under the Restated 2016 Plan may not be less than the fair market value of the common stock subject to such option on the grant date, and the term of stock options shall extend no more than ten years after the grant date. The Restated 2016 Plan terminates June 9, 2030.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employees and officers that hold unvested restricted stock awarded during 2016 or thereafter are not entitled to dividends when the Company pays dividends.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Impact of 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stock-based compensation expense, which is included in operating or general and administrative expense, as appropriate, in the Consolidated Statements of Operations and Comprehensive Loss for the years ended December 31, 2025 and 2024 (in thousands):</w:t>
      </w:r>
    </w:p>
    <w:p>
      <w:pPr>
        <w:pStyle w:val="TextBody"/>
        <w:bidi w:val="0"/>
        <w:spacing w:before="0" w:after="0"/>
        <w:ind w:left="0" w:right="0" w:hanging="0"/>
        <w:jc w:val="left"/>
        <w:rPr/>
      </w:pPr>
      <w:r>
        <w:rPr/>
        <w:t>​</w:t>
      </w:r>
    </w:p>
    <w:tbl>
      <w:tblPr>
        <w:tblW w:w="4868" w:type="dxa"/>
        <w:jc w:val="left"/>
        <w:tblInd w:w="0" w:type="dxa"/>
        <w:tblLayout w:type="fixed"/>
        <w:tblCellMar>
          <w:top w:w="0" w:type="dxa"/>
          <w:left w:w="0" w:type="dxa"/>
          <w:bottom w:w="0" w:type="dxa"/>
          <w:right w:w="0" w:type="dxa"/>
        </w:tblCellMar>
      </w:tblPr>
      <w:tblGrid>
        <w:gridCol w:w="2446"/>
        <w:gridCol w:w="109"/>
        <w:gridCol w:w="332"/>
        <w:gridCol w:w="662"/>
        <w:gridCol w:w="171"/>
        <w:gridCol w:w="332"/>
        <w:gridCol w:w="662"/>
        <w:gridCol w:w="154"/>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53210" cy="175260"/>
                      <wp:effectExtent l="0" t="0" r="0" b="0"/>
                      <wp:wrapNone/>
                      <wp:docPr id="191" name="Frame19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0820" cy="175260"/>
                      <wp:effectExtent l="0" t="0" r="0" b="0"/>
                      <wp:wrapNone/>
                      <wp:docPr id="193" name="Frame19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0370" cy="175260"/>
                      <wp:effectExtent l="0" t="0" r="0" b="0"/>
                      <wp:wrapNone/>
                      <wp:docPr id="194" name="Frame194"/>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08585" cy="175260"/>
                      <wp:effectExtent l="0" t="0" r="0" b="0"/>
                      <wp:wrapNone/>
                      <wp:docPr id="195" name="Frame195"/>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0820" cy="175260"/>
                      <wp:effectExtent l="0" t="0" r="0" b="0"/>
                      <wp:wrapNone/>
                      <wp:docPr id="196" name="Frame19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0370" cy="175260"/>
                      <wp:effectExtent l="0" t="0" r="0" b="0"/>
                      <wp:wrapNone/>
                      <wp:docPr id="197" name="Frame197"/>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7790" cy="175260"/>
                      <wp:effectExtent l="0" t="0" r="0" b="0"/>
                      <wp:wrapNone/>
                      <wp:docPr id="198" name="Frame1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54" w:type="dxa"/>
            <w:tcBorders/>
            <w:vAlign w:val="center"/>
          </w:tcPr>
          <w:p>
            <w:pPr>
              <w:pStyle w:val="TableContents"/>
              <w:bidi w:val="0"/>
              <w:spacing w:before="0" w:after="1"/>
              <w:ind w:left="0" w:right="0" w:hanging="0"/>
              <w:jc w:val="left"/>
              <w:rPr/>
            </w:pPr>
            <w:r>
              <w:rPr/>
              <w:t>​</w:t>
            </w:r>
          </w:p>
        </w:tc>
      </w:tr>
      <w:tr>
        <w:trPr/>
        <w:tc>
          <w:tcPr>
            <w:tcW w:w="2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71" w:type="dxa"/>
            <w:tcBorders/>
            <w:vAlign w:val="center"/>
          </w:tcPr>
          <w:p>
            <w:pPr>
              <w:pStyle w:val="TableContents"/>
              <w:bidi w:val="0"/>
              <w:spacing w:before="0" w:after="1"/>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4" w:type="dxa"/>
            <w:tcBorders/>
            <w:vAlign w:val="center"/>
          </w:tcPr>
          <w:p>
            <w:pPr>
              <w:pStyle w:val="TableContents"/>
              <w:bidi w:val="0"/>
              <w:spacing w:before="0" w:after="1"/>
              <w:ind w:left="0" w:right="0" w:hanging="0"/>
              <w:jc w:val="lef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 awards</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awards</w:t>
            </w:r>
          </w:p>
        </w:tc>
        <w:tc>
          <w:tcPr>
            <w:tcW w:w="109" w:type="dxa"/>
            <w:tcBorders/>
            <w:vAlign w:val="center"/>
          </w:tcPr>
          <w:p>
            <w:pPr>
              <w:pStyle w:val="TableContents"/>
              <w:bidi w:val="0"/>
              <w:spacing w:before="0" w:after="1"/>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71" w:type="dxa"/>
            <w:tcBorders/>
            <w:vAlign w:val="center"/>
          </w:tcPr>
          <w:p>
            <w:pPr>
              <w:pStyle w:val="TableContents"/>
              <w:bidi w:val="0"/>
              <w:spacing w:before="0" w:after="1"/>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154" w:type="dxa"/>
            <w:tcBorders/>
            <w:vAlign w:val="center"/>
          </w:tcPr>
          <w:p>
            <w:pPr>
              <w:pStyle w:val="TableContents"/>
              <w:bidi w:val="0"/>
              <w:spacing w:before="0" w:after="1"/>
              <w:ind w:left="0" w:right="0" w:hanging="0"/>
              <w:jc w:val="lef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b/>
          <w:i/>
          <w:sz w:val="20"/>
        </w:rPr>
      </w:pPr>
      <w:bookmarkStart w:id="769" w:name="Tc_CTvJ7Zq3zEmftXb0Awim0w_7_5"/>
      <w:bookmarkStart w:id="770" w:name="Tc_iG8g6RTgr0y0S4_27FTuUA_7_0"/>
      <w:bookmarkStart w:id="771" w:name="Tc_ASIqc3X-3UCxPZ296ZcHoQ_6_5"/>
      <w:bookmarkStart w:id="772" w:name="Tc_kT000LeD7kK1p31lLDp3MQ_6_0"/>
      <w:bookmarkStart w:id="773" w:name="Tc_ITjfTxvil0GNrDnFPTAt4Q_5_6"/>
      <w:bookmarkStart w:id="774" w:name="Tc_WMF5cAAR_EKcXL2i2YrUNA_5_3"/>
      <w:bookmarkStart w:id="775" w:name="Tc_EQm_y0LIPkGSwxHvkgBzmQ_5_0"/>
      <w:bookmarkStart w:id="776" w:name="Tc_mkSndOpqLUeLVz5pM9iwRg_4_5"/>
      <w:bookmarkStart w:id="777" w:name="Tc_7EllDcjRr0ixz-SV4XqaqA_4_0"/>
      <w:bookmarkStart w:id="778" w:name="Tc_jjrRiRRim0u70cJfjAhlBg_3_5"/>
      <w:bookmarkStart w:id="779" w:name="Tc_5LmbCu1zhkiVRGlks6guTg_3_0"/>
      <w:bookmarkStart w:id="780" w:name="Tc_eXhLEJhEM0uj4Ai8-rlH9w_2_5"/>
      <w:bookmarkStart w:id="781" w:name="Tc_oxDnmNXLPUa12icm0ZQ0aA_2_0"/>
      <w:bookmarkStart w:id="782" w:name="Tc_Wycn3teak0KSLESR8d-p5g_1_5"/>
      <w:bookmarkStart w:id="783" w:name="Tc_uPVzc2pSA0KFvzmADUAcaw_1_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ascii="Times New Roman;Times;serif" w:hAnsi="Times New Roman;Times;serif"/>
          <w:b/>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stock option activity during the years ended December 31, 2025 and 2024. There were no outstanding stock options as of December 31, 2025 or 2024.</w:t>
      </w:r>
    </w:p>
    <w:p>
      <w:pPr>
        <w:pStyle w:val="TextBody"/>
        <w:bidi w:val="0"/>
        <w:spacing w:lineRule="auto" w:line="285" w:before="0" w:after="200"/>
        <w:ind w:left="0" w:right="0" w:firstLine="720"/>
        <w:jc w:val="left"/>
        <w:rPr>
          <w:rFonts w:ascii="Times New Roman;Times;serif" w:hAnsi="Times New Roman;Times;serif"/>
          <w:b/>
          <w:i/>
          <w:sz w:val="20"/>
        </w:rPr>
      </w:pPr>
      <w:r>
        <w:rPr>
          <w:rFonts w:ascii="Times New Roman;Times;serif" w:hAnsi="Times New Roman;Times;serif"/>
          <w:b/>
          <w:i/>
          <w:sz w:val="20"/>
        </w:rPr>
        <w:t>Restricted Stock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was no restricted stock award activity during the years ended December 31, 2025 and 2024.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Restricted Stock Unit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summary of the status of the Company’s nonvested restricted stock unit awards as of December 31, 2025 and activity during the year then ended is as follows:</w:t>
      </w:r>
    </w:p>
    <w:p>
      <w:pPr>
        <w:pStyle w:val="TextBody"/>
        <w:bidi w:val="0"/>
        <w:spacing w:before="0" w:after="0"/>
        <w:ind w:left="0" w:right="0" w:hanging="0"/>
        <w:jc w:val="left"/>
        <w:rPr/>
      </w:pPr>
      <w:r>
        <w:rPr/>
        <w:t>​</w:t>
      </w:r>
    </w:p>
    <w:tbl>
      <w:tblPr>
        <w:tblW w:w="9643" w:type="dxa"/>
        <w:jc w:val="left"/>
        <w:tblInd w:w="0" w:type="dxa"/>
        <w:tblLayout w:type="fixed"/>
        <w:tblCellMar>
          <w:top w:w="0" w:type="dxa"/>
          <w:left w:w="0" w:type="dxa"/>
          <w:bottom w:w="0" w:type="dxa"/>
          <w:right w:w="0" w:type="dxa"/>
        </w:tblCellMar>
      </w:tblPr>
      <w:tblGrid>
        <w:gridCol w:w="3031"/>
        <w:gridCol w:w="109"/>
        <w:gridCol w:w="476"/>
        <w:gridCol w:w="2599"/>
        <w:gridCol w:w="109"/>
        <w:gridCol w:w="986"/>
        <w:gridCol w:w="2179"/>
        <w:gridCol w:w="1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24685" cy="175260"/>
                      <wp:effectExtent l="0" t="0" r="0" b="0"/>
                      <wp:wrapNone/>
                      <wp:docPr id="199" name="Frame199"/>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02260" cy="175260"/>
                      <wp:effectExtent l="0" t="0" r="0" b="0"/>
                      <wp:wrapNone/>
                      <wp:docPr id="201" name="Frame20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50365" cy="175260"/>
                      <wp:effectExtent l="0" t="0" r="0" b="0"/>
                      <wp:wrapNone/>
                      <wp:docPr id="202" name="Frame202"/>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26110" cy="175260"/>
                      <wp:effectExtent l="0" t="0" r="0" b="0"/>
                      <wp:wrapNone/>
                      <wp:docPr id="204" name="Frame204"/>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83665" cy="175260"/>
                      <wp:effectExtent l="0" t="0" r="0" b="0"/>
                      <wp:wrapNone/>
                      <wp:docPr id="205" name="Frame205"/>
                      <a:graphic xmlns:a="http://schemas.openxmlformats.org/drawingml/2006/main">
                        <a:graphicData uri="http://schemas.microsoft.com/office/word/2010/wordprocessingShape">
                          <wps:wsp>
                            <wps:cNvSpPr txBox="1"/>
                            <wps:spPr>
                              <a:xfrm>
                                <a:off x="0" y="0"/>
                                <a:ext cx="138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7790" cy="175260"/>
                      <wp:effectExtent l="0" t="0" r="0" b="0"/>
                      <wp:wrapNone/>
                      <wp:docPr id="206" name="Frame2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 Stock Unit Awards</w:t>
            </w:r>
          </w:p>
        </w:tc>
        <w:tc>
          <w:tcPr>
            <w:tcW w:w="109" w:type="dxa"/>
            <w:tcBorders/>
            <w:vAlign w:val="center"/>
          </w:tcPr>
          <w:p>
            <w:pPr>
              <w:pStyle w:val="TableContents"/>
              <w:bidi w:val="0"/>
              <w:spacing w:before="0" w:after="0"/>
              <w:ind w:left="0" w:right="0" w:hanging="0"/>
              <w:jc w:val="left"/>
              <w:rPr/>
            </w:pPr>
            <w:r>
              <w:rPr/>
              <w:t>​</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 Date Fair Value</w:t>
            </w:r>
          </w:p>
        </w:tc>
        <w:tc>
          <w:tcPr>
            <w:tcW w:w="154" w:type="dxa"/>
            <w:tcBorders/>
            <w:vAlign w:val="center"/>
          </w:tcPr>
          <w:p>
            <w:pPr>
              <w:pStyle w:val="TableContents"/>
              <w:bidi w:val="0"/>
              <w:spacing w:before="0" w:after="0"/>
              <w:ind w:left="0" w:right="0" w:hanging="0"/>
              <w:jc w:val="center"/>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2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w:t>
            </w:r>
          </w:p>
        </w:tc>
        <w:tc>
          <w:tcPr>
            <w:tcW w:w="109"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 </w:t>
            </w:r>
          </w:p>
        </w:tc>
        <w:tc>
          <w:tcPr>
            <w:tcW w:w="25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109"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54" w:type="dxa"/>
            <w:tcBorders/>
            <w:vAlign w:val="center"/>
          </w:tcPr>
          <w:p>
            <w:pPr>
              <w:pStyle w:val="TableContents"/>
              <w:bidi w:val="0"/>
              <w:spacing w:before="0" w:after="0"/>
              <w:ind w:left="0" w:right="0" w:hanging="0"/>
              <w:jc w:val="righ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 </w:t>
            </w:r>
          </w:p>
        </w:tc>
        <w:tc>
          <w:tcPr>
            <w:tcW w:w="2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(87,100)</w:t>
            </w:r>
          </w:p>
        </w:tc>
        <w:tc>
          <w:tcPr>
            <w:tcW w:w="109"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Settlement</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25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217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109"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2025</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5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109"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Company granted 250,000 restricted stock unit awards during the year ended December 31, 2025 with a weighted average grant date fair value of $2.24.  The Company granted 96,700 restricted stock unit awards during the year ended December 31, 2024 with a weighted average grant date fair value of $1.94.  The fair value of restricted stock unit awards equals the market price of the Company's stock on the grant date and generally vest in one year, or in annual increments over three years.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of December 31, 2025, there were approximately $528,000 of unrecognized compensation costs related to nonvested restricted stock unit awards.  These costs are expected to be recognized over a weighted average period of 2.82 years.</w:t>
      </w:r>
    </w:p>
    <w:p>
      <w:pPr>
        <w:pStyle w:val="TextBody"/>
        <w:bidi w:val="0"/>
        <w:spacing w:lineRule="auto" w:line="285" w:before="0" w:after="200"/>
        <w:ind w:left="0" w:right="0" w:firstLine="720"/>
        <w:jc w:val="left"/>
        <w:rPr>
          <w:rFonts w:ascii="Times New Roman;Times;serif" w:hAnsi="Times New Roman;Times;serif"/>
          <w:b/>
          <w:i/>
          <w:sz w:val="20"/>
        </w:rPr>
      </w:pPr>
      <w:r>
        <w:rPr>
          <w:rFonts w:ascii="Times New Roman;Times;serif" w:hAnsi="Times New Roman;Times;serif"/>
          <w:b/>
          <w:i/>
          <w:sz w:val="20"/>
        </w:rPr>
        <w:t>Common Stock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granted no common stock awards to outside directors during the year ended December 31, 2025. The Company granted 76,660 common stock awards with immediate vesting to outside directors with a weighted average grant date fair value of $1.63 during the year ended December 31, 2024.</w:t>
      </w:r>
    </w:p>
    <w:p>
      <w:pPr>
        <w:pStyle w:val="TextBody"/>
        <w:bidi w:val="0"/>
        <w:spacing w:lineRule="auto" w:line="314" w:before="0" w:after="120"/>
        <w:ind w:left="0" w:right="0" w:hanging="0"/>
        <w:jc w:val="left"/>
        <w:rPr/>
      </w:pPr>
      <w:r>
        <w:rPr/>
        <w:t>​</w:t>
      </w:r>
    </w:p>
    <w:p>
      <w:pPr>
        <w:pStyle w:val="TextBody"/>
        <w:pBdr/>
        <w:bidi w:val="0"/>
        <w:spacing w:lineRule="auto" w:line="285" w:before="0" w:after="240"/>
        <w:ind w:left="0" w:right="0" w:hanging="720"/>
        <w:jc w:val="left"/>
        <w:rPr>
          <w:rFonts w:ascii="Times New Roman;Times;serif" w:hAnsi="Times New Roman;Times;serif"/>
          <w:b/>
          <w:sz w:val="20"/>
        </w:rPr>
      </w:pPr>
      <w:r>
        <w:rPr>
          <w:rFonts w:ascii="Times New Roman;Times;serif" w:hAnsi="Times New Roman;Times;serif"/>
          <w:b/>
          <w:sz w:val="20"/>
        </w:rPr>
        <w:t xml:space="preserve">10.         Employee Benefit Plans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provides a 401(k) plan as part of its employee benefits package in order to retain quality personnel. The Company elected to match 100% of the employee contributions up to a maximum of 6% of the participant’s applicable compensation under its 401(k) plan for the years ended December 31, 2025 and 2024. The Company’s matching contributions under its 401(k) plan for the years ended December 31, 2025 and 2024 were approximately $584,000 and $568,000, respectively.</w:t>
      </w:r>
    </w:p>
    <w:p>
      <w:pPr>
        <w:pStyle w:val="TextBody"/>
        <w:pBdr/>
        <w:bidi w:val="0"/>
        <w:spacing w:lineRule="auto" w:line="285" w:before="0" w:after="240"/>
        <w:ind w:left="0" w:right="0" w:hanging="720"/>
        <w:jc w:val="left"/>
        <w:rPr>
          <w:rFonts w:ascii="Times New Roman;Times;serif" w:hAnsi="Times New Roman;Times;serif"/>
          <w:b/>
          <w:sz w:val="20"/>
        </w:rPr>
      </w:pPr>
      <w:r>
        <w:rPr>
          <w:rFonts w:ascii="Times New Roman;Times;serif" w:hAnsi="Times New Roman;Times;serif"/>
          <w:b/>
          <w:sz w:val="20"/>
        </w:rPr>
        <w:t>11.         Advertising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Advertising costs are charged to expense as incurred. Advertising costs for the years ended December 31, 2025 and 2024 totaled $61,000 and $40,000, respectively.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240"/>
        <w:ind w:left="0" w:right="0" w:hanging="720"/>
        <w:jc w:val="left"/>
        <w:rPr>
          <w:rFonts w:ascii="Times New Roman;Times;serif" w:hAnsi="Times New Roman;Times;serif"/>
          <w:sz w:val="20"/>
        </w:rPr>
      </w:pPr>
      <w:bookmarkStart w:id="784" w:name="Tc_tVQ_DQsPH02av7MjjH7dDw_7_5"/>
      <w:bookmarkStart w:id="785" w:name="Tc_Fgz5sfSgBE25H6luy_jllA_7_2"/>
      <w:bookmarkStart w:id="786" w:name="Tc_b7-vXK0BREmXt-KTP7swqg_7_0"/>
      <w:bookmarkStart w:id="787" w:name="Tc_VYC_pinmg0G8nv_DtiRSdA_6_0"/>
      <w:bookmarkStart w:id="788" w:name="Tc_zPgnTqEpPk6NEzS-mP7kHw_5_0"/>
      <w:bookmarkStart w:id="789" w:name="Tc_KDozcd9PTkiyKu5aOM9GiQ_4_0"/>
      <w:bookmarkStart w:id="790" w:name="Tc_dz59I-aBS0qMBgayyweqbw_3_6"/>
      <w:bookmarkStart w:id="791" w:name="Tc_RB3-NKbKekOwBoG_I6ioGA_3_5"/>
      <w:bookmarkStart w:id="792" w:name="Tc__-nNHEJ050Oz3vNv8nfTug_3_3"/>
      <w:bookmarkStart w:id="793" w:name="Tc_YnPJnp2lK0apSfflEWYc7w_3_2"/>
      <w:bookmarkStart w:id="794" w:name="Tc_1Y7kFuMIrUacp6VnTWtD-Q_3_0"/>
      <w:bookmarkStart w:id="795" w:name="Tc_a4gKCKMKyUiWAeNlB8kdHA_2_5"/>
      <w:bookmarkStart w:id="796" w:name="Tc_B_dVNO_1GEKC6jlXSBMbVg_2_2"/>
      <w:bookmarkStart w:id="797" w:name="Tc_4m2mIOqoKEi55Daq_PpVUw_1_2"/>
      <w:bookmarkStart w:id="798" w:name="_1b35ad53_a38b_41f8_bcc5_9942ebf3c889"/>
      <w:bookmarkStart w:id="799" w:name="Tc_I8pa48T40EG3dxeY2siovA_5_5"/>
      <w:bookmarkStart w:id="800" w:name="Tc_4PDcYHwIOECR8E3nDnGdMA_5_2"/>
      <w:bookmarkStart w:id="801" w:name="Tc_73bV9XX_T0CcGGZ-LFpTkg_5_0"/>
      <w:bookmarkStart w:id="802" w:name="Tc_uQ8iKiFhikqDoxwIICPpjw_4_0"/>
      <w:bookmarkStart w:id="803" w:name="Tc_OLbR-mgTrEqlqJ8WDGrQ_Q_3_5"/>
      <w:bookmarkStart w:id="804" w:name="Tc_ntiOetk3EEKtTVcAXKHh2g_3_2"/>
      <w:bookmarkStart w:id="805" w:name="Tc_Lf8RZ6AnT0GyukZXvgi04Q_3_0"/>
      <w:bookmarkStart w:id="806" w:name="Tc_WFWQPEfu1EeW5yEETyCNZA_2_5"/>
      <w:bookmarkStart w:id="807" w:name="Tc_8ywJb5e4kk2lMIv8nefZVA_2_2"/>
      <w:bookmarkStart w:id="808" w:name="Tc_o7EZUlhE8U6pnPd_RG2fbg_1_2"/>
      <w:bookmarkStart w:id="809" w:name="_118c1d4f_24e8_4afa_a7c3_d7aa70db2ade"/>
      <w:bookmarkStart w:id="810" w:name="Tc_RFC-eD6QJUyCKrOpu_apWw_10_5"/>
      <w:bookmarkStart w:id="811" w:name="Tc_bEblTfwpjUCbS8yJCFGOGA_10_2"/>
      <w:bookmarkStart w:id="812" w:name="Tc_mHWg5qvkn02egOHn4q_09Q_10_0"/>
      <w:bookmarkStart w:id="813" w:name="Tc_LnICxcKN-0qjXtBnLBqYjA_8_6"/>
      <w:bookmarkStart w:id="814" w:name="Tc_C2FBm4iYh0qs_L1jv4mKHg_8_3"/>
      <w:bookmarkStart w:id="815" w:name="Tc_PkGZOHgWRU2DNX7onCT1rw_7_0"/>
      <w:bookmarkStart w:id="816" w:name="Tc_ot64GC_Va0OsIXgPcWe9rg_4_0"/>
      <w:bookmarkStart w:id="817" w:name="Tc_3-FybwBRZUakbxmeWuzp8g_3_6"/>
      <w:bookmarkStart w:id="818" w:name="Tc_ea_pm7NRDEudpH4_atxsfA_3_5"/>
      <w:bookmarkStart w:id="819" w:name="Tc_O4QGippspE-MkG-2_xdN5w_3_2"/>
      <w:bookmarkStart w:id="820" w:name="Tc_WhlWJ9ES5EW6VHLdEowsXQ_3_0"/>
      <w:bookmarkStart w:id="821" w:name="Tc_7OKYOUdx70--UPjJpA8AZg_2_5"/>
      <w:bookmarkStart w:id="822" w:name="Tc__D3BxVPM0U-caZlfCp_0jg_2_2"/>
      <w:bookmarkStart w:id="823" w:name="Tc_WvXKS4JnDkuK-8qCKygXuw_1_2"/>
      <w:bookmarkStart w:id="824" w:name="_b13f3b2f_2556_4818_b130_fe3cfb5c1848"/>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b/>
          <w:sz w:val="20"/>
        </w:rPr>
        <w:t>12.         Income Taxes</w:t>
      </w:r>
      <w:r>
        <w:rPr>
          <w:rFonts w:ascii="Times New Roman;Times;serif" w:hAnsi="Times New Roman;Times;serif"/>
          <w:sz w:val="20"/>
        </w:rPr>
        <w:t xml:space="preserv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adoption of ASU 2023-09, </w:t>
      </w:r>
      <w:r>
        <w:rPr>
          <w:rFonts w:ascii="Times New Roman;Times;serif" w:hAnsi="Times New Roman;Times;serif"/>
          <w:i/>
          <w:sz w:val="20"/>
        </w:rPr>
        <w:t>Improvements to Income Tax Disclosures</w:t>
      </w:r>
      <w:r>
        <w:rPr>
          <w:rFonts w:ascii="Times New Roman;Times;serif" w:hAnsi="Times New Roman;Times;serif"/>
          <w:sz w:val="20"/>
        </w:rPr>
        <w:t>, as described in Note 17, Recently Issued Accounting Policies, cash paid for income taxes, net of refunds, during the year ended December 31, 2025 was as follows (in thousands):</w:t>
      </w:r>
    </w:p>
    <w:p>
      <w:pPr>
        <w:pStyle w:val="TextBody"/>
        <w:bidi w:val="0"/>
        <w:spacing w:before="0" w:after="0"/>
        <w:ind w:left="0" w:right="0" w:hanging="0"/>
        <w:jc w:val="left"/>
        <w:rPr/>
      </w:pPr>
      <w:r>
        <w:rPr/>
        <w:t>​</w:t>
      </w:r>
    </w:p>
    <w:tbl>
      <w:tblPr>
        <w:tblW w:w="6858" w:type="dxa"/>
        <w:jc w:val="left"/>
        <w:tblInd w:w="0" w:type="dxa"/>
        <w:tblLayout w:type="fixed"/>
        <w:tblCellMar>
          <w:top w:w="0" w:type="dxa"/>
          <w:left w:w="0" w:type="dxa"/>
          <w:bottom w:w="0" w:type="dxa"/>
          <w:right w:w="0" w:type="dxa"/>
        </w:tblCellMar>
      </w:tblPr>
      <w:tblGrid>
        <w:gridCol w:w="4801"/>
        <w:gridCol w:w="346"/>
        <w:gridCol w:w="211"/>
        <w:gridCol w:w="406"/>
        <w:gridCol w:w="346"/>
        <w:gridCol w:w="211"/>
        <w:gridCol w:w="346"/>
        <w:gridCol w:w="19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048635" cy="175260"/>
                      <wp:effectExtent l="0" t="0" r="0" b="0"/>
                      <wp:wrapNone/>
                      <wp:docPr id="207" name="Frame207"/>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7810" cy="175260"/>
                      <wp:effectExtent l="0" t="0" r="0" b="0"/>
                      <wp:wrapNone/>
                      <wp:docPr id="210" name="Frame2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1285" cy="175260"/>
                      <wp:effectExtent l="0" t="0" r="0" b="0"/>
                      <wp:wrapNone/>
                      <wp:docPr id="214" name="Frame21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91" w:type="dxa"/>
            <w:tcBorders/>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1"/>
              <w:ind w:left="0" w:right="0" w:hanging="0"/>
              <w:jc w:val="left"/>
              <w:rPr/>
            </w:pPr>
            <w:r>
              <w:rPr/>
              <w:t>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(received) paid for income taxes, net of refunds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Company’s components of (loss) income before income tax, were as follows (in thousands):</w:t>
      </w:r>
    </w:p>
    <w:tbl>
      <w:tblPr>
        <w:tblW w:w="4691" w:type="dxa"/>
        <w:jc w:val="left"/>
        <w:tblInd w:w="0" w:type="dxa"/>
        <w:tblLayout w:type="fixed"/>
        <w:tblCellMar>
          <w:top w:w="0" w:type="dxa"/>
          <w:left w:w="0" w:type="dxa"/>
          <w:bottom w:w="0" w:type="dxa"/>
          <w:right w:w="0" w:type="dxa"/>
        </w:tblCellMar>
      </w:tblPr>
      <w:tblGrid>
        <w:gridCol w:w="1996"/>
        <w:gridCol w:w="346"/>
        <w:gridCol w:w="224"/>
        <w:gridCol w:w="671"/>
        <w:gridCol w:w="368"/>
        <w:gridCol w:w="224"/>
        <w:gridCol w:w="671"/>
        <w:gridCol w:w="19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67460" cy="175260"/>
                      <wp:effectExtent l="0" t="0" r="0" b="0"/>
                      <wp:wrapNone/>
                      <wp:docPr id="215" name="Frame21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2240" cy="175260"/>
                      <wp:effectExtent l="0" t="0" r="0" b="0"/>
                      <wp:wrapNone/>
                      <wp:docPr id="217" name="Frame21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6085" cy="175260"/>
                      <wp:effectExtent l="0" t="0" r="0" b="0"/>
                      <wp:wrapNone/>
                      <wp:docPr id="218" name="Frame218"/>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3680" cy="175260"/>
                      <wp:effectExtent l="0" t="0" r="0" b="0"/>
                      <wp:wrapNone/>
                      <wp:docPr id="219" name="Frame219"/>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2240" cy="175260"/>
                      <wp:effectExtent l="0" t="0" r="0" b="0"/>
                      <wp:wrapNone/>
                      <wp:docPr id="220" name="Frame22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6085" cy="175260"/>
                      <wp:effectExtent l="0" t="0" r="0" b="0"/>
                      <wp:wrapNone/>
                      <wp:docPr id="221" name="Frame221"/>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1285" cy="175260"/>
                      <wp:effectExtent l="0" t="0" r="0" b="0"/>
                      <wp:wrapNone/>
                      <wp:docPr id="222" name="Frame2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1" w:type="dxa"/>
            <w:tcBorders/>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68" w:type="dxa"/>
            <w:tcBorders/>
            <w:vAlign w:val="center"/>
          </w:tcPr>
          <w:p>
            <w:pPr>
              <w:pStyle w:val="TableContents"/>
              <w:bidi w:val="0"/>
              <w:spacing w:before="0" w:after="1"/>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1"/>
              <w:ind w:left="0" w:right="0" w:hanging="0"/>
              <w:jc w:val="left"/>
              <w:rPr/>
            </w:pPr>
            <w:r>
              <w:rPr/>
              <w:t> </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Domestic </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(4,076)</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2,141</w:t>
            </w:r>
          </w:p>
        </w:tc>
        <w:tc>
          <w:tcPr>
            <w:tcW w:w="368"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w:t>
            </w:r>
          </w:p>
        </w:tc>
        <w:tc>
          <w:tcPr>
            <w:tcW w:w="191" w:type="dxa"/>
            <w:tcBorders/>
            <w:vAlign w:val="center"/>
          </w:tcPr>
          <w:p>
            <w:pPr>
              <w:pStyle w:val="TableContents"/>
              <w:bidi w:val="0"/>
              <w:spacing w:before="0" w:after="1"/>
              <w:ind w:left="0" w:right="0" w:hanging="0"/>
              <w:jc w:val="lef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(1,935)</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(4,112)</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Company’s components of income tax benefit (expense) were as follows (in thousands):</w:t>
      </w:r>
    </w:p>
    <w:tbl>
      <w:tblPr>
        <w:tblW w:w="5545" w:type="dxa"/>
        <w:jc w:val="left"/>
        <w:tblInd w:w="0" w:type="dxa"/>
        <w:tblLayout w:type="fixed"/>
        <w:tblCellMar>
          <w:top w:w="0" w:type="dxa"/>
          <w:left w:w="0" w:type="dxa"/>
          <w:bottom w:w="0" w:type="dxa"/>
          <w:right w:w="0" w:type="dxa"/>
        </w:tblCellMar>
      </w:tblPr>
      <w:tblGrid>
        <w:gridCol w:w="2851"/>
        <w:gridCol w:w="346"/>
        <w:gridCol w:w="299"/>
        <w:gridCol w:w="577"/>
        <w:gridCol w:w="491"/>
        <w:gridCol w:w="299"/>
        <w:gridCol w:w="491"/>
        <w:gridCol w:w="19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10385" cy="175260"/>
                      <wp:effectExtent l="0" t="0" r="0" b="0"/>
                      <wp:wrapNone/>
                      <wp:docPr id="223" name="Frame223"/>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9865" cy="175260"/>
                      <wp:effectExtent l="0" t="0" r="0" b="0"/>
                      <wp:wrapNone/>
                      <wp:docPr id="225" name="Frame22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6395" cy="175260"/>
                      <wp:effectExtent l="0" t="0" r="0" b="0"/>
                      <wp:wrapNone/>
                      <wp:docPr id="226" name="Frame226"/>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11785" cy="175260"/>
                      <wp:effectExtent l="0" t="0" r="0" b="0"/>
                      <wp:wrapNone/>
                      <wp:docPr id="227" name="Frame227"/>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9865" cy="175260"/>
                      <wp:effectExtent l="0" t="0" r="0" b="0"/>
                      <wp:wrapNone/>
                      <wp:docPr id="228" name="Frame22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11785" cy="175260"/>
                      <wp:effectExtent l="0" t="0" r="0" b="0"/>
                      <wp:wrapNone/>
                      <wp:docPr id="229" name="Frame229"/>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1285" cy="175260"/>
                      <wp:effectExtent l="0" t="0" r="0" b="0"/>
                      <wp:wrapNone/>
                      <wp:docPr id="230" name="Frame23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91" w:type="dxa"/>
            <w:tcBorders/>
            <w:vAlign w:val="center"/>
          </w:tcPr>
          <w:p>
            <w:pPr>
              <w:pStyle w:val="TableContents"/>
              <w:bidi w:val="0"/>
              <w:spacing w:before="0" w:after="0"/>
              <w:ind w:left="0" w:right="0" w:hanging="0"/>
              <w:jc w:val="left"/>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federal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state expense</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91"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91" w:type="dxa"/>
            <w:tcBorders/>
            <w:vAlign w:val="center"/>
          </w:tcPr>
          <w:p>
            <w:pPr>
              <w:pStyle w:val="TableContents"/>
              <w:bidi w:val="0"/>
              <w:spacing w:before="0" w:after="0"/>
              <w:ind w:left="0" w:right="0" w:hanging="0"/>
              <w:jc w:val="left"/>
              <w:rPr/>
            </w:pPr>
            <w:r>
              <w:rPr/>
              <w:t>​</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federal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491"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state benefit (expense)</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491"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91" w:type="dxa"/>
            <w:tcBorders/>
            <w:vAlign w:val="center"/>
          </w:tcPr>
          <w:p>
            <w:pPr>
              <w:pStyle w:val="TableContents"/>
              <w:bidi w:val="0"/>
              <w:spacing w:before="0" w:after="0"/>
              <w:ind w:left="0" w:right="0" w:hanging="0"/>
              <w:jc w:val="left"/>
              <w:rPr/>
            </w:pPr>
            <w:r>
              <w:rPr/>
              <w:t>​</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91"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825" w:name="Tc_JmgZOEraP0SkEiETS_LMQg_23_5"/>
      <w:bookmarkStart w:id="826" w:name="Tc_U5WDXc7pDkqueUzZ71rzkA_23_2"/>
      <w:bookmarkStart w:id="827" w:name="Tc_9r6ZRoGE-kCklNMaYeI_jA_23_0"/>
      <w:bookmarkStart w:id="828" w:name="Tc_szNiZxE-L0CmVTszsz1_nw_22_6"/>
      <w:bookmarkStart w:id="829" w:name="Tc_W-LZG507CkWH2JghJPHuoQ_22_3"/>
      <w:bookmarkStart w:id="830" w:name="Tc_iky0okvb9ESXUCtgfiqETw_22_0"/>
      <w:bookmarkStart w:id="831" w:name="Tc_0aydgDtB7EW-ZwmSjCG-zQ_21_5"/>
      <w:bookmarkStart w:id="832" w:name="Tc_QnH02MU5206ah_wtjIk_kA_21_2"/>
      <w:bookmarkStart w:id="833" w:name="Tc_EJQzyObE2U-7w1CXGBlACg_21_0"/>
      <w:bookmarkStart w:id="834" w:name="Tc_U40wcP_ZhUawqSAuOJiolw_19_5"/>
      <w:bookmarkStart w:id="835" w:name="Tc_CV8387TTKkimKBpS1mqZ7g_19_2"/>
      <w:bookmarkStart w:id="836" w:name="Tc_OxnhvE76jkeKsU4cJ-HL8g_19_0"/>
      <w:bookmarkStart w:id="837" w:name="Tc_pJqBom-fWEObKhORLI3TPg_18_3"/>
      <w:bookmarkStart w:id="838" w:name="Tc_FbGjYOxQOkuc6Ovupy90uw_18_0"/>
      <w:bookmarkStart w:id="839" w:name="Tc_R-qG9ddYvEiF9nOHoQE45A_17_6"/>
      <w:bookmarkStart w:id="840" w:name="Tc_h3_G_a91OUSiAx7v4D96_w_17_0"/>
      <w:bookmarkStart w:id="841" w:name="Tc_LQNBJIVPUESvCoxrOw8lYA_16_0"/>
      <w:bookmarkStart w:id="842" w:name="Tc_l3vlTARk70GRG_tDgm0b8A_15_0"/>
      <w:bookmarkStart w:id="843" w:name="Tc_r3jtZFbar0if5AUUcNDOEw_14_0"/>
      <w:bookmarkStart w:id="844" w:name="Tc_2exUldNjKU-WPfSPAGvciQ_13_0"/>
      <w:bookmarkStart w:id="845" w:name="Tc_dDKjYdZ6O0iPpZv8ALTl7g_12_0"/>
      <w:bookmarkStart w:id="846" w:name="Tc_NFcj1xcreUGPoRZ5Fcj0AA_11_6"/>
      <w:bookmarkStart w:id="847" w:name="Tc_ojs-1AtBb0y3esM5IWSikA_11_0"/>
      <w:bookmarkStart w:id="848" w:name="Tc_XD2o-t0I2UKhYOQpu7-R7w_10_0"/>
      <w:bookmarkStart w:id="849" w:name="Tc_9TRk-DUIy0-c84rw8g5eiQ_9_0"/>
      <w:bookmarkStart w:id="850" w:name="Tc_6rzM4ZkWCEeHwqKsyKhjfA_8_3"/>
      <w:bookmarkStart w:id="851" w:name="Tc_U2MSidTda0elM-37WvUH1A_8_0"/>
      <w:bookmarkStart w:id="852" w:name="Tc_2gNoj7g11ESkoH7QNz-0Bg_7_0"/>
      <w:bookmarkStart w:id="853" w:name="Tc_LKLDFd1WeU-URgDItVeFfQ_6_0"/>
      <w:bookmarkStart w:id="854" w:name="Tc_qVmROM7JJUCVkKOWMivWJQ_5_0"/>
      <w:bookmarkStart w:id="855" w:name="Tc_EN3MT_gdc0C2ADExpIvXOg_4_5"/>
      <w:bookmarkStart w:id="856" w:name="Tc_lewBENyrjEq5ckQtdOB_TA_4_2"/>
      <w:bookmarkStart w:id="857" w:name="Tc_g2pzCDR4aE-mSUs10yrudw_4_0"/>
      <w:bookmarkStart w:id="858" w:name="Tc_IHY1stUriE-uDhCseU7s4w_3_0"/>
      <w:bookmarkStart w:id="859" w:name="Tc__aqZFRjk102t8JRUEN_X6A_2_5"/>
      <w:bookmarkStart w:id="860" w:name="Tc_wMjsLEn970qr9-5JRr7t9A_2_2"/>
      <w:bookmarkStart w:id="861" w:name="Tc_UfU1liRUfkOJh4dTObzaQA_1_2"/>
      <w:bookmarkStart w:id="862" w:name="_4e5202a8_0397_4103_99f6_6206d5bba50b"/>
      <w:bookmarkStart w:id="863" w:name="_b2ee27e2_2e85_4988_b2de_96dc771bc055_3"/>
      <w:bookmarkStart w:id="864" w:name="_b2ee27e2_2e85_4988_b2de_96dc771bc055_2"/>
      <w:bookmarkStart w:id="865" w:name="_b2ee27e2_2e85_4988_b2de_96dc771bc055"/>
      <w:bookmarkStart w:id="866" w:name="Tc_gS30gn2Z_ECRShdmX3ICVQ_10_7"/>
      <w:bookmarkStart w:id="867" w:name="Tc_QrEkgDVpW02kE_fQ22PIjA_10_2"/>
      <w:bookmarkStart w:id="868" w:name="Tc_AyqE02PdnUK0yLkHHTsoxw_9_0"/>
      <w:bookmarkStart w:id="869" w:name="Tc_ci-Y5YjTG0ie6_SnHADwaQ_8_0"/>
      <w:bookmarkStart w:id="870" w:name="Tc_chyjJE_Q40iGM9ASqaIFew_7_0"/>
      <w:bookmarkStart w:id="871" w:name="Tc_OAYH2Xkplk6Kh4vxGrcukg_6_0"/>
      <w:bookmarkStart w:id="872" w:name="Tc_OHSmtIRv40Wm00DzJrInGg_5_0"/>
      <w:bookmarkStart w:id="873" w:name="Tc_u-ESnyMmCECSn73DTVw5uQ_4_0"/>
      <w:bookmarkStart w:id="874" w:name="Tc_I1Tc5ffnsUKi9XS47j-kYA_3_7"/>
      <w:bookmarkStart w:id="875" w:name="Tc_Pafs-SCpHki9rUclyda1zQ_3_2"/>
      <w:bookmarkStart w:id="876" w:name="Tc_OeyQuEFRMkuoBVXlYVLTZA_3_0"/>
      <w:bookmarkStart w:id="877" w:name="Tc_9YO7HlFG3Emh1SCGmhrMuw_2_7"/>
      <w:bookmarkStart w:id="878" w:name="Tc_6GAKd3nqTkiQLFApuf4Ebg_2_2"/>
      <w:bookmarkStart w:id="879" w:name="Tc_UpyhTWACgkW6v4GTUyxUMQ_1_2"/>
      <w:bookmarkStart w:id="880" w:name="_56c0e7cb_a223_4d35_8a64_412940eb6dde"/>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sz w:val="20"/>
        </w:rPr>
        <w:t>The income tax provision differs from the amount computed by applying the statutory federal income tax rate to loss before income tax as follows (in thousands):</w:t>
      </w:r>
    </w:p>
    <w:tbl>
      <w:tblPr>
        <w:tblW w:w="10205" w:type="dxa"/>
        <w:jc w:val="left"/>
        <w:tblInd w:w="0" w:type="dxa"/>
        <w:tblLayout w:type="fixed"/>
        <w:tblCellMar>
          <w:top w:w="0" w:type="dxa"/>
          <w:left w:w="0" w:type="dxa"/>
          <w:bottom w:w="0" w:type="dxa"/>
          <w:right w:w="0" w:type="dxa"/>
        </w:tblCellMar>
      </w:tblPr>
      <w:tblGrid>
        <w:gridCol w:w="6468"/>
        <w:gridCol w:w="346"/>
        <w:gridCol w:w="196"/>
        <w:gridCol w:w="484"/>
        <w:gridCol w:w="109"/>
        <w:gridCol w:w="568"/>
        <w:gridCol w:w="346"/>
        <w:gridCol w:w="196"/>
        <w:gridCol w:w="484"/>
        <w:gridCol w:w="109"/>
        <w:gridCol w:w="706"/>
        <w:gridCol w:w="193"/>
      </w:tblGrid>
      <w:tr>
        <w:trPr/>
        <w:tc>
          <w:tcPr>
            <w:tcW w:w="6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107180" cy="175260"/>
                      <wp:effectExtent l="0" t="0" r="0" b="0"/>
                      <wp:wrapNone/>
                      <wp:docPr id="231" name="Frame231"/>
                      <a:graphic xmlns:a="http://schemas.openxmlformats.org/drawingml/2006/main">
                        <a:graphicData uri="http://schemas.microsoft.com/office/word/2010/wordprocessingShape">
                          <wps:wsp>
                            <wps:cNvSpPr txBox="1"/>
                            <wps:spPr>
                              <a:xfrm>
                                <a:off x="0" y="0"/>
                                <a:ext cx="410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4460" cy="175260"/>
                      <wp:effectExtent l="0" t="0" r="0" b="0"/>
                      <wp:wrapNone/>
                      <wp:docPr id="233" name="Frame2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07340" cy="175260"/>
                      <wp:effectExtent l="0" t="0" r="0" b="0"/>
                      <wp:wrapNone/>
                      <wp:docPr id="234" name="Frame23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60680" cy="175260"/>
                      <wp:effectExtent l="0" t="0" r="0" b="0"/>
                      <wp:wrapNone/>
                      <wp:docPr id="236" name="Frame23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38" name="Frame2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07340" cy="175260"/>
                      <wp:effectExtent l="0" t="0" r="0" b="0"/>
                      <wp:wrapNone/>
                      <wp:docPr id="239" name="Frame239"/>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8310" cy="175260"/>
                      <wp:effectExtent l="0" t="0" r="0" b="0"/>
                      <wp:wrapNone/>
                      <wp:docPr id="241" name="Frame2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2555" cy="175260"/>
                      <wp:effectExtent l="0" t="0" r="0" b="0"/>
                      <wp:wrapNone/>
                      <wp:docPr id="242" name="Frame242"/>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9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3" w:type="dxa"/>
            <w:tcBorders/>
            <w:vAlign w:val="center"/>
          </w:tcPr>
          <w:p>
            <w:pPr>
              <w:pStyle w:val="TableContents"/>
              <w:bidi w:val="0"/>
              <w:spacing w:before="0" w:after="1"/>
              <w:ind w:left="0" w:right="0" w:hanging="0"/>
              <w:jc w:val="center"/>
              <w:rPr/>
            </w:pPr>
            <w:r>
              <w:rPr/>
              <w:t>​</w:t>
            </w:r>
          </w:p>
        </w:tc>
      </w:tr>
      <w:tr>
        <w:trPr/>
        <w:tc>
          <w:tcPr>
            <w:tcW w:w="64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6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93" w:type="dxa"/>
            <w:tcBorders/>
            <w:vAlign w:val="center"/>
          </w:tcPr>
          <w:p>
            <w:pPr>
              <w:pStyle w:val="TableContents"/>
              <w:bidi w:val="0"/>
              <w:spacing w:before="0" w:after="1"/>
              <w:ind w:left="0" w:right="0" w:hanging="0"/>
              <w:jc w:val="left"/>
              <w:rPr/>
            </w:pPr>
            <w:r>
              <w:rPr/>
              <w:t> </w:t>
            </w:r>
          </w:p>
        </w:tc>
      </w:tr>
      <w:tr>
        <w:trPr/>
        <w:tc>
          <w:tcPr>
            <w:tcW w:w="64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109" w:type="dxa"/>
            <w:tcBorders/>
            <w:shd w:fill="CCEEFF" w:val="clear"/>
            <w:vAlign w:val="center"/>
          </w:tcPr>
          <w:p>
            <w:pPr>
              <w:pStyle w:val="TableContents"/>
              <w:bidi w:val="0"/>
              <w:spacing w:before="0" w:after="1"/>
              <w:ind w:left="0" w:right="0" w:hanging="0"/>
              <w:jc w:val="right"/>
              <w:rPr/>
            </w:pPr>
            <w:r>
              <w:rPr/>
              <w:t>​</w:t>
            </w:r>
          </w:p>
        </w:tc>
        <w:tc>
          <w:tcPr>
            <w:tcW w:w="5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w:t>
            </w:r>
          </w:p>
        </w:tc>
        <w:tc>
          <w:tcPr>
            <w:tcW w:w="109"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64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 Expense, net of federal benefit including change in Valuation Allowance (a)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vAlign w:val="center"/>
          </w:tcPr>
          <w:p>
            <w:pPr>
              <w:pStyle w:val="TableContents"/>
              <w:bidi w:val="0"/>
              <w:spacing w:before="0" w:after="1"/>
              <w:ind w:left="0" w:right="0" w:hanging="0"/>
              <w:jc w:val="right"/>
              <w:rPr/>
            </w:pPr>
            <w:r>
              <w:rPr/>
              <w:t>​</w:t>
            </w:r>
          </w:p>
        </w:tc>
        <w:tc>
          <w:tcPr>
            <w:tcW w:w="5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w:t>
            </w:r>
          </w:p>
        </w:tc>
        <w:tc>
          <w:tcPr>
            <w:tcW w:w="109"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193" w:type="dxa"/>
            <w:tcBorders/>
            <w:vAlign w:val="center"/>
          </w:tcPr>
          <w:p>
            <w:pPr>
              <w:pStyle w:val="TableContents"/>
              <w:bidi w:val="0"/>
              <w:spacing w:before="0" w:after="1"/>
              <w:ind w:left="0" w:right="0" w:hanging="0"/>
              <w:jc w:val="left"/>
              <w:rPr/>
            </w:pPr>
            <w:r>
              <w:rPr/>
              <w:t>​</w:t>
            </w:r>
          </w:p>
        </w:tc>
      </w:tr>
      <w:tr>
        <w:trPr/>
        <w:tc>
          <w:tcPr>
            <w:tcW w:w="64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 (b)</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w:t>
            </w:r>
          </w:p>
        </w:tc>
        <w:tc>
          <w:tcPr>
            <w:tcW w:w="109" w:type="dxa"/>
            <w:tcBorders/>
            <w:shd w:fill="CCEEFF" w:val="clear"/>
            <w:vAlign w:val="center"/>
          </w:tcPr>
          <w:p>
            <w:pPr>
              <w:pStyle w:val="TableContents"/>
              <w:bidi w:val="0"/>
              <w:spacing w:before="0" w:after="1"/>
              <w:ind w:left="0" w:right="0" w:hanging="0"/>
              <w:jc w:val="right"/>
              <w:rPr/>
            </w:pPr>
            <w:r>
              <w:rPr/>
              <w:t>​</w:t>
            </w:r>
          </w:p>
        </w:tc>
        <w:tc>
          <w:tcPr>
            <w:tcW w:w="5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w:t>
            </w:r>
          </w:p>
        </w:tc>
        <w:tc>
          <w:tcPr>
            <w:tcW w:w="109"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64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True Up</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109" w:type="dxa"/>
            <w:tcBorders/>
            <w:vAlign w:val="center"/>
          </w:tcPr>
          <w:p>
            <w:pPr>
              <w:pStyle w:val="TableContents"/>
              <w:bidi w:val="0"/>
              <w:spacing w:before="0" w:after="1"/>
              <w:ind w:left="0" w:right="0" w:hanging="0"/>
              <w:jc w:val="right"/>
              <w:rPr/>
            </w:pPr>
            <w:r>
              <w:rPr/>
              <w:t>​</w:t>
            </w:r>
          </w:p>
        </w:tc>
        <w:tc>
          <w:tcPr>
            <w:tcW w:w="5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93" w:type="dxa"/>
            <w:tcBorders/>
            <w:vAlign w:val="center"/>
          </w:tcPr>
          <w:p>
            <w:pPr>
              <w:pStyle w:val="TableContents"/>
              <w:bidi w:val="0"/>
              <w:spacing w:before="0" w:after="1"/>
              <w:ind w:left="0" w:right="0" w:hanging="0"/>
              <w:jc w:val="left"/>
              <w:rPr/>
            </w:pPr>
            <w:r>
              <w:rPr/>
              <w:t>​</w:t>
            </w:r>
          </w:p>
        </w:tc>
      </w:tr>
      <w:tr>
        <w:trPr/>
        <w:tc>
          <w:tcPr>
            <w:tcW w:w="64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5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64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Meals and Entertainment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109" w:type="dxa"/>
            <w:tcBorders/>
            <w:vAlign w:val="center"/>
          </w:tcPr>
          <w:p>
            <w:pPr>
              <w:pStyle w:val="TableContents"/>
              <w:bidi w:val="0"/>
              <w:spacing w:before="0" w:after="1"/>
              <w:ind w:left="0" w:right="0" w:hanging="0"/>
              <w:jc w:val="right"/>
              <w:rPr/>
            </w:pPr>
            <w:r>
              <w:rPr/>
              <w:t>​</w:t>
            </w:r>
          </w:p>
        </w:tc>
        <w:tc>
          <w:tcPr>
            <w:tcW w:w="5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109"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93" w:type="dxa"/>
            <w:tcBorders/>
            <w:vAlign w:val="center"/>
          </w:tcPr>
          <w:p>
            <w:pPr>
              <w:pStyle w:val="TableContents"/>
              <w:bidi w:val="0"/>
              <w:spacing w:before="0" w:after="1"/>
              <w:ind w:left="0" w:right="0" w:hanging="0"/>
              <w:jc w:val="left"/>
              <w:rPr/>
            </w:pPr>
            <w:r>
              <w:rPr/>
              <w:t>​</w:t>
            </w:r>
          </w:p>
        </w:tc>
      </w:tr>
      <w:tr>
        <w:trPr/>
        <w:tc>
          <w:tcPr>
            <w:tcW w:w="64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before="0" w:after="1"/>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6468"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1"/>
              <w:ind w:left="0" w:right="0" w:hanging="0"/>
              <w:jc w:val="right"/>
              <w:rPr/>
            </w:pPr>
            <w:r>
              <w:rPr/>
              <w:t>​</w:t>
            </w:r>
          </w:p>
        </w:tc>
        <w:tc>
          <w:tcPr>
            <w:tcW w:w="56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1"/>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w:t>
            </w:r>
          </w:p>
        </w:tc>
        <w:tc>
          <w:tcPr>
            <w:tcW w:w="193" w:type="dxa"/>
            <w:tcBorders/>
            <w:vAlign w:val="center"/>
          </w:tcPr>
          <w:p>
            <w:pPr>
              <w:pStyle w:val="TableContents"/>
              <w:bidi w:val="0"/>
              <w:spacing w:before="0" w:after="1"/>
              <w:ind w:left="0" w:right="0" w:hanging="0"/>
              <w:jc w:val="left"/>
              <w:rPr/>
            </w:pPr>
            <w:r>
              <w:rPr/>
              <w:t>​</w:t>
            </w:r>
          </w:p>
        </w:tc>
      </w:tr>
    </w:tbl>
    <w:tbl>
      <w:tblPr>
        <w:tblW w:w="9426" w:type="dxa"/>
        <w:jc w:val="left"/>
        <w:tblInd w:w="0" w:type="dxa"/>
        <w:tblLayout w:type="fixed"/>
        <w:tblCellMar>
          <w:top w:w="28" w:type="dxa"/>
          <w:left w:w="28" w:type="dxa"/>
          <w:bottom w:w="28" w:type="dxa"/>
          <w:right w:w="28" w:type="dxa"/>
        </w:tblCellMar>
      </w:tblPr>
      <w:tblGrid>
        <w:gridCol w:w="124"/>
        <w:gridCol w:w="31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 in New Mexico and Texas made up the majority (greater than 50%) of the tax effect in this category.</w:t>
            </w:r>
          </w:p>
        </w:tc>
      </w:tr>
    </w:tbl>
    <w:tbl>
      <w:tblPr>
        <w:tblW w:w="10205" w:type="dxa"/>
        <w:jc w:val="left"/>
        <w:tblInd w:w="0" w:type="dxa"/>
        <w:tblLayout w:type="fixed"/>
        <w:tblCellMar>
          <w:top w:w="28" w:type="dxa"/>
          <w:left w:w="28" w:type="dxa"/>
          <w:bottom w:w="28" w:type="dxa"/>
          <w:right w:w="28" w:type="dxa"/>
        </w:tblCellMar>
      </w:tblPr>
      <w:tblGrid>
        <w:gridCol w:w="124"/>
        <w:gridCol w:w="322"/>
        <w:gridCol w:w="9759"/>
      </w:tblGrid>
      <w:tr>
        <w:trPr/>
        <w:tc>
          <w:tcPr>
            <w:tcW w:w="124" w:type="dxa"/>
            <w:tcBorders/>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 is inclusive of Canadian operations, which is classified as a foreign disregarded entity for U.S. federal tax purposes.</w:t>
            </w:r>
          </w:p>
        </w:tc>
      </w:tr>
    </w:tbl>
    <w:p>
      <w:pPr>
        <w:pStyle w:val="TextBody"/>
        <w:bidi w:val="0"/>
        <w:spacing w:lineRule="auto" w:line="285" w:before="240" w:after="240"/>
        <w:ind w:left="0" w:right="0" w:firstLine="720"/>
        <w:jc w:val="both"/>
        <w:rPr>
          <w:rFonts w:ascii="Times New Roman;Times;serif" w:hAnsi="Times New Roman;Times;serif"/>
          <w:sz w:val="20"/>
        </w:rPr>
      </w:pPr>
      <w:r>
        <w:rPr>
          <w:rFonts w:ascii="Times New Roman;Times;serif" w:hAnsi="Times New Roman;Times;serif"/>
          <w:sz w:val="20"/>
        </w:rPr>
        <w:t>The principal components of the Company’s net deferred tax assets (liabilities) (in thousands) were as follows:</w:t>
      </w:r>
    </w:p>
    <w:tbl>
      <w:tblPr>
        <w:tblW w:w="6922" w:type="dxa"/>
        <w:jc w:val="left"/>
        <w:tblInd w:w="0" w:type="dxa"/>
        <w:tblLayout w:type="fixed"/>
        <w:tblCellMar>
          <w:top w:w="0" w:type="dxa"/>
          <w:left w:w="0" w:type="dxa"/>
          <w:bottom w:w="0" w:type="dxa"/>
          <w:right w:w="0" w:type="dxa"/>
        </w:tblCellMar>
      </w:tblPr>
      <w:tblGrid>
        <w:gridCol w:w="4321"/>
        <w:gridCol w:w="346"/>
        <w:gridCol w:w="211"/>
        <w:gridCol w:w="721"/>
        <w:gridCol w:w="346"/>
        <w:gridCol w:w="211"/>
        <w:gridCol w:w="76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743835" cy="175260"/>
                      <wp:effectExtent l="0" t="0" r="0" b="0"/>
                      <wp:wrapNone/>
                      <wp:docPr id="243" name="Frame243"/>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57835" cy="175260"/>
                      <wp:effectExtent l="0" t="0" r="0" b="0"/>
                      <wp:wrapNone/>
                      <wp:docPr id="246" name="Frame2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86410" cy="175260"/>
                      <wp:effectExtent l="0" t="0" r="0" b="0"/>
                      <wp:wrapNone/>
                      <wp:docPr id="249" name="Frame2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Federal tax net operating loss ("NOL") carryforward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16,596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tax NOL carryforward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6,342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 NOL carryforward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 Breckenridge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severance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deferred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27,892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valuation allowances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(27,527)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At December 31, 2025, the Company had a gross NOL for U.S. federal income tax purposes of approximately $174 million but expects approximately $94.8 million to expire unused with the remaining NOL beginning to expire in 2027. Losses incurred after the year ended December 31, 2017 have no expiration. The Company will carry forward the tax benefits related to federal net NOL of approximately $16.6 million. The Company also had state net NOLs that will affect state taxes of approximately $3.8 million at December 31, 2025. State NOLs began to expire in 2015 and continue to expire each year. The Company also had a Canadian gross NOL of $22.7 million that will begin to expire in 2037.</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evaluating the possible sources of taxable income during 2025 and 2024, the Company determined it is more likely than not that the remaining deferred tax assets will not be realizable. As a result, the Company recorded and maintained a full valuation allowance against foreign deferred tax assets and its federal and state deferred tax assets with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exception of its trademark intangible. The change in valuation allowance amounted to $0.4 million and $1.1 million for the years ended December 31, 2025 and 2024, respectively, including amounts recorded as a component of other comprehensive income or loss.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2024, the Company did not have any uncertain tax positions. The Company’s policy is to recognize interest and penalties related to an uncertain tax position in income tax expense. The Company did not have any material income tax interest or penalties for the years ended December 31, 2025 and 2024.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81" w:name="Tc_oSh-xyhTVECQhn1uzGng7w_4_0"/>
      <w:bookmarkStart w:id="882" w:name="Tc_3giHpSRoDU2E5uNmYanfZw_3_0"/>
      <w:bookmarkStart w:id="883" w:name="Tc_G1e-PHoTBUGAoa4U4JAkuA_2_6"/>
      <w:bookmarkStart w:id="884" w:name="Tc_P0f8WH4Zu0CJ2U1_bi57TA_2_3"/>
      <w:bookmarkStart w:id="885" w:name="Tc_95jVpH8ZJEq1105guL9zEw_1_3"/>
      <w:bookmarkStart w:id="886" w:name="Tc_9usyaglCOU2PC6QOzS1WfQ_9_5"/>
      <w:bookmarkStart w:id="887" w:name="Tc_k4AIg-toi0iKu6mK1Tpwnw_9_2"/>
      <w:bookmarkStart w:id="888" w:name="Tc_rE5Rl0AcHUCYrOLjnuBl3g_9_0"/>
      <w:bookmarkStart w:id="889" w:name="Tc_heQz0K075kSbK4jIPvfFQw_8_5"/>
      <w:bookmarkStart w:id="890" w:name="Tc_YNqEQBHBXEOMdnjcB1NLqQ_8_2"/>
      <w:bookmarkStart w:id="891" w:name="Tc_DE934ckJb069pOKQRX1xWg_8_0"/>
      <w:bookmarkStart w:id="892" w:name="Tc_eYxJZ-5-x0Sdoyk9DkDeZg_7_0"/>
      <w:bookmarkStart w:id="893" w:name="Tc_6rftn4X_Fkmcfoe1P86qsg_6_6"/>
      <w:bookmarkStart w:id="894" w:name="Tc_tHQEwTFdAUupLbEkOiVH9w_6_3"/>
      <w:bookmarkStart w:id="895" w:name="Tc_LSzhifEdJEW7ckO0kVt3IQ_6_0"/>
      <w:bookmarkStart w:id="896" w:name="Tc_w2xy5qQPekeaAj-1DDEqGg_5_0"/>
      <w:bookmarkStart w:id="897" w:name="Tc_PwUdVEUOV0u3Ufo-AXa3Lw_4_0"/>
      <w:bookmarkStart w:id="898" w:name="Tc_um-k90ZmiU-2fdsfIQCOYQ_3_5"/>
      <w:bookmarkStart w:id="899" w:name="Tc_FAylE5ytRkiPza7K8Z1Q6A_3_2"/>
      <w:bookmarkStart w:id="900" w:name="Tc_ZXfLk1dXZUK0oeaPwl-H5w_3_0"/>
      <w:bookmarkStart w:id="901" w:name="Tc_K2-Y9JOmr0icCEp_okOQLQ_2_5"/>
      <w:bookmarkStart w:id="902" w:name="Tc_xKCytaIQt0-KIr_zEt71sQ_2_2"/>
      <w:bookmarkStart w:id="903" w:name="Tc_zmtQN1u8r0SzLCDm2YKKTg_1_2"/>
      <w:bookmarkStart w:id="904" w:name="_10cd5115_5ff7_4771_b7a7_94170e1cdea4"/>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b/>
          <w:sz w:val="20"/>
        </w:rPr>
        <w:t>13.         Net Loss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Basic net loss per share is computed by dividing the net loss by the weighted average shares outstanding. Diluted loss per share is computed by dividing the net loss by the weighted average diluted shares outstanding.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computation of basic and diluted loss per share was as follows (in thousands, except share and per share data):</w:t>
      </w:r>
    </w:p>
    <w:tbl>
      <w:tblPr>
        <w:tblW w:w="10205" w:type="dxa"/>
        <w:jc w:val="left"/>
        <w:tblInd w:w="0" w:type="dxa"/>
        <w:tblLayout w:type="fixed"/>
        <w:tblCellMar>
          <w:top w:w="0" w:type="dxa"/>
          <w:left w:w="0" w:type="dxa"/>
          <w:bottom w:w="0" w:type="dxa"/>
          <w:right w:w="0" w:type="dxa"/>
        </w:tblCellMar>
      </w:tblPr>
      <w:tblGrid>
        <w:gridCol w:w="6828"/>
        <w:gridCol w:w="346"/>
        <w:gridCol w:w="211"/>
        <w:gridCol w:w="1036"/>
        <w:gridCol w:w="346"/>
        <w:gridCol w:w="211"/>
        <w:gridCol w:w="1036"/>
        <w:gridCol w:w="191"/>
      </w:tblGrid>
      <w:tr>
        <w:trPr/>
        <w:tc>
          <w:tcPr>
            <w:tcW w:w="6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35780" cy="175260"/>
                      <wp:effectExtent l="0" t="0" r="0" b="0"/>
                      <wp:wrapNone/>
                      <wp:docPr id="250" name="Frame250"/>
                      <a:graphic xmlns:a="http://schemas.openxmlformats.org/drawingml/2006/main">
                        <a:graphicData uri="http://schemas.microsoft.com/office/word/2010/wordprocessingShape">
                          <wps:wsp>
                            <wps:cNvSpPr txBox="1"/>
                            <wps:spPr>
                              <a:xfrm>
                                <a:off x="0" y="0"/>
                                <a:ext cx="433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57860" cy="175260"/>
                      <wp:effectExtent l="0" t="0" r="0" b="0"/>
                      <wp:wrapNone/>
                      <wp:docPr id="253" name="Frame2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57860" cy="175260"/>
                      <wp:effectExtent l="0" t="0" r="0" b="0"/>
                      <wp:wrapNone/>
                      <wp:docPr id="256" name="Frame2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1285" cy="175260"/>
                      <wp:effectExtent l="0" t="0" r="0" b="0"/>
                      <wp:wrapNone/>
                      <wp:docPr id="257" name="Frame25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91" w:type="dxa"/>
            <w:tcBorders/>
            <w:vAlign w:val="center"/>
          </w:tcPr>
          <w:p>
            <w:pPr>
              <w:pStyle w:val="TableContents"/>
              <w:bidi w:val="0"/>
              <w:spacing w:before="0" w:after="0"/>
              <w:ind w:left="0" w:right="0" w:hanging="0"/>
              <w:jc w:val="left"/>
              <w:rPr/>
            </w:pPr>
            <w:r>
              <w:rPr/>
              <w:t>​</w:t>
            </w:r>
          </w:p>
        </w:tc>
      </w:tr>
      <w:tr>
        <w:trPr/>
        <w:tc>
          <w:tcPr>
            <w:tcW w:w="6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before="0" w:after="0"/>
              <w:ind w:left="0" w:right="0" w:hanging="0"/>
              <w:jc w:val="left"/>
              <w:rPr/>
            </w:pPr>
            <w:r>
              <w:rPr/>
              <w:t> </w:t>
            </w:r>
          </w:p>
        </w:tc>
      </w:tr>
      <w:tr>
        <w:trPr/>
        <w:tc>
          <w:tcPr>
            <w:tcW w:w="6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31,016,792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30,879,855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common stock options, restricted stock unit awards and restricted stock awards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31,016,792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30,879,855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c>
          <w:tcPr>
            <w:tcW w:w="191" w:type="dxa"/>
            <w:tcBorders/>
            <w:vAlign w:val="center"/>
          </w:tcPr>
          <w:p>
            <w:pPr>
              <w:pStyle w:val="TableContents"/>
              <w:bidi w:val="0"/>
              <w:spacing w:before="0" w:after="0"/>
              <w:ind w:left="0" w:right="0" w:hanging="0"/>
              <w:jc w:val="left"/>
              <w:rPr/>
            </w:pPr>
            <w:r>
              <w:rPr/>
              <w:t>​</w:t>
            </w:r>
          </w:p>
        </w:tc>
      </w:tr>
      <w:tr>
        <w:trPr/>
        <w:tc>
          <w:tcPr>
            <w:tcW w:w="6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had a net loss in the years ended December 31, 2025 and 2024. As a result, all stock options, restricted stock unit awards, and restricted stock awards were anti-dilutive and excluded from weighted average shares used in determining the diluted loss per share of common stock for the respective periods.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weighted average potentially dilutive securities have been from the calculation of diluted loss per share of common stock, as their effect would be anti-dilutive for the years ended December 31, 2025 and 2024:</w:t>
      </w:r>
    </w:p>
    <w:p>
      <w:pPr>
        <w:pStyle w:val="TextBody"/>
        <w:bidi w:val="0"/>
        <w:spacing w:before="0" w:after="0"/>
        <w:ind w:left="0" w:right="0" w:hanging="0"/>
        <w:jc w:val="left"/>
        <w:rPr/>
      </w:pPr>
      <w:r>
        <w:rPr/>
        <w:t>​</w:t>
      </w:r>
    </w:p>
    <w:tbl>
      <w:tblPr>
        <w:tblW w:w="4643" w:type="dxa"/>
        <w:jc w:val="left"/>
        <w:tblInd w:w="0" w:type="dxa"/>
        <w:tblLayout w:type="fixed"/>
        <w:tblCellMar>
          <w:top w:w="0" w:type="dxa"/>
          <w:left w:w="0" w:type="dxa"/>
          <w:bottom w:w="0" w:type="dxa"/>
          <w:right w:w="0" w:type="dxa"/>
        </w:tblCellMar>
      </w:tblPr>
      <w:tblGrid>
        <w:gridCol w:w="1876"/>
        <w:gridCol w:w="109"/>
        <w:gridCol w:w="346"/>
        <w:gridCol w:w="122"/>
        <w:gridCol w:w="762"/>
        <w:gridCol w:w="390"/>
        <w:gridCol w:w="122"/>
        <w:gridCol w:w="762"/>
        <w:gridCol w:w="15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191260" cy="175260"/>
                      <wp:effectExtent l="0" t="0" r="0" b="0"/>
                      <wp:wrapNone/>
                      <wp:docPr id="258" name="Frame25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7470" cy="175260"/>
                      <wp:effectExtent l="0" t="0" r="0" b="0"/>
                      <wp:wrapNone/>
                      <wp:docPr id="261" name="Frame26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83870" cy="175260"/>
                      <wp:effectExtent l="0" t="0" r="0" b="0"/>
                      <wp:wrapNone/>
                      <wp:docPr id="262" name="Frame262"/>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47650" cy="175260"/>
                      <wp:effectExtent l="0" t="0" r="0" b="0"/>
                      <wp:wrapNone/>
                      <wp:docPr id="263" name="Frame26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7470" cy="175260"/>
                      <wp:effectExtent l="0" t="0" r="0" b="0"/>
                      <wp:wrapNone/>
                      <wp:docPr id="264" name="Frame26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83870" cy="175260"/>
                      <wp:effectExtent l="0" t="0" r="0" b="0"/>
                      <wp:wrapNone/>
                      <wp:docPr id="265" name="Frame265"/>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7790" cy="175260"/>
                      <wp:effectExtent l="0" t="0" r="0" b="0"/>
                      <wp:wrapNone/>
                      <wp:docPr id="266" name="Frame2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154"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0" w:type="dxa"/>
            <w:tcBorders/>
            <w:vAlign w:val="center"/>
          </w:tcPr>
          <w:p>
            <w:pPr>
              <w:pStyle w:val="TableContents"/>
              <w:bidi w:val="0"/>
              <w:spacing w:before="0" w:after="0"/>
              <w:ind w:left="0" w:right="0" w:hanging="0"/>
              <w:jc w:val="left"/>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4"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88,529</w:t>
            </w:r>
          </w:p>
        </w:tc>
        <w:tc>
          <w:tcPr>
            <w:tcW w:w="390" w:type="dxa"/>
            <w:tcBorders/>
            <w:shd w:fill="CCEEFF" w:val="clear"/>
            <w:vAlign w:val="center"/>
          </w:tcPr>
          <w:p>
            <w:pPr>
              <w:pStyle w:val="TableContents"/>
              <w:bidi w:val="0"/>
              <w:spacing w:before="0" w:after="0"/>
              <w:ind w:left="0" w:right="0" w:hanging="0"/>
              <w:jc w:val="left"/>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88,529</w:t>
            </w:r>
          </w:p>
        </w:tc>
        <w:tc>
          <w:tcPr>
            <w:tcW w:w="390" w:type="dxa"/>
            <w:tcBorders/>
            <w:vAlign w:val="center"/>
          </w:tcPr>
          <w:p>
            <w:pPr>
              <w:pStyle w:val="TableContents"/>
              <w:bidi w:val="0"/>
              <w:spacing w:before="0" w:after="0"/>
              <w:ind w:left="0" w:right="0" w:hanging="0"/>
              <w:jc w:val="left"/>
              <w:rPr/>
            </w:pPr>
            <w:r>
              <w:rPr/>
              <w:t>​</w:t>
            </w:r>
          </w:p>
        </w:tc>
        <w:tc>
          <w:tcPr>
            <w:tcW w:w="12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lineRule="auto" w:line="285" w:before="240" w:after="240"/>
        <w:ind w:left="0" w:right="0" w:hanging="0"/>
        <w:jc w:val="both"/>
        <w:rPr>
          <w:rFonts w:ascii="Times New Roman;Times;serif" w:hAnsi="Times New Roman;Times;serif"/>
          <w:b/>
          <w:sz w:val="20"/>
        </w:rPr>
      </w:pPr>
      <w:bookmarkStart w:id="905" w:name="Tc_sm-CzEkzr0eQdy-_iZrnYg_4_3"/>
      <w:bookmarkStart w:id="906" w:name="Tc_vykP8CRip0alkfEX3l6d_g_4_0"/>
      <w:bookmarkStart w:id="907" w:name="Tc_nKVrJMk74kCSQSzwr0X8yw_3_0"/>
      <w:bookmarkStart w:id="908" w:name="Tc_eKneRS0emU2kEvp3n-72nA_2_6"/>
      <w:bookmarkStart w:id="909" w:name="Tc_TgP-iNkC-0mIBiZOFLDFVg_2_3"/>
      <w:bookmarkStart w:id="910" w:name="Tc_JbLVJUkEBkueMXoKlpkchA_1_2"/>
      <w:bookmarkEnd w:id="905"/>
      <w:bookmarkEnd w:id="906"/>
      <w:bookmarkEnd w:id="907"/>
      <w:bookmarkEnd w:id="908"/>
      <w:bookmarkEnd w:id="909"/>
      <w:bookmarkEnd w:id="910"/>
      <w:r>
        <w:rPr>
          <w:rFonts w:ascii="Times New Roman;Times;serif" w:hAnsi="Times New Roman;Times;serif"/>
          <w:b/>
          <w:sz w:val="20"/>
        </w:rPr>
        <w:t>14.         Major Clients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operating segments, U.S and Canada, all of the clients whose revenue exceeded 10% of total revenue during the years ended December 31, 2025 and 2024, were U.S. segment clients.  Sales to these clients, as a percentage of operating revenues that exceeded 10%, were as follows:</w:t>
      </w:r>
    </w:p>
    <w:p>
      <w:pPr>
        <w:pStyle w:val="TextBody"/>
        <w:bidi w:val="0"/>
        <w:spacing w:before="0" w:after="0"/>
        <w:ind w:left="0" w:right="0" w:hanging="0"/>
        <w:jc w:val="left"/>
        <w:rPr/>
      </w:pPr>
      <w:r>
        <w:rPr/>
        <w:t>​</w:t>
      </w:r>
    </w:p>
    <w:tbl>
      <w:tblPr>
        <w:tblW w:w="2522" w:type="dxa"/>
        <w:jc w:val="left"/>
        <w:tblInd w:w="0" w:type="dxa"/>
        <w:tblLayout w:type="fixed"/>
        <w:tblCellMar>
          <w:top w:w="0" w:type="dxa"/>
          <w:left w:w="0" w:type="dxa"/>
          <w:bottom w:w="0" w:type="dxa"/>
          <w:right w:w="0" w:type="dxa"/>
        </w:tblCellMar>
      </w:tblPr>
      <w:tblGrid>
        <w:gridCol w:w="256"/>
        <w:gridCol w:w="109"/>
        <w:gridCol w:w="168"/>
        <w:gridCol w:w="745"/>
        <w:gridCol w:w="168"/>
        <w:gridCol w:w="168"/>
        <w:gridCol w:w="908"/>
      </w:tblGrid>
      <w:tr>
        <w:trPr/>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2560" cy="175260"/>
                      <wp:effectExtent l="0" t="0" r="0" b="0"/>
                      <wp:wrapNone/>
                      <wp:docPr id="267" name="Frame26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06680" cy="175260"/>
                      <wp:effectExtent l="0" t="0" r="0" b="0"/>
                      <wp:wrapNone/>
                      <wp:docPr id="269" name="Frame269"/>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73075" cy="175260"/>
                      <wp:effectExtent l="0" t="0" r="0" b="0"/>
                      <wp:wrapNone/>
                      <wp:docPr id="270" name="Frame270"/>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06680" cy="175260"/>
                      <wp:effectExtent l="0" t="0" r="0" b="0"/>
                      <wp:wrapNone/>
                      <wp:docPr id="271" name="Frame271"/>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06680" cy="175260"/>
                      <wp:effectExtent l="0" t="0" r="0" b="0"/>
                      <wp:wrapNone/>
                      <wp:docPr id="272" name="Frame272"/>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76580" cy="175260"/>
                      <wp:effectExtent l="0" t="0" r="0" b="0"/>
                      <wp:wrapNone/>
                      <wp:docPr id="273" name="Frame273"/>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w:t>
            </w:r>
          </w:p>
        </w:tc>
      </w:tr>
      <w:tr>
        <w:trPr/>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68" w:type="dxa"/>
            <w:tcBorders/>
            <w:vAlign w:val="center"/>
          </w:tcPr>
          <w:p>
            <w:pPr>
              <w:pStyle w:val="TableContents"/>
              <w:bidi w:val="0"/>
              <w:spacing w:before="0" w:after="1"/>
              <w:ind w:left="0" w:right="0" w:hanging="0"/>
              <w:jc w:val="left"/>
              <w:rPr/>
            </w:pPr>
            <w:r>
              <w:rPr/>
              <w:t>​</w:t>
            </w:r>
          </w:p>
        </w:tc>
        <w:tc>
          <w:tcPr>
            <w:tcW w:w="1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68"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w:t>
            </w:r>
          </w:p>
        </w:tc>
        <w:tc>
          <w:tcPr>
            <w:tcW w:w="109"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right"/>
              <w:rPr/>
            </w:pPr>
            <w:r>
              <w:rPr/>
              <w:t>—</w:t>
            </w:r>
          </w:p>
        </w:tc>
        <w:tc>
          <w:tcPr>
            <w:tcW w:w="168"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lineRule="auto" w:line="314" w:before="0" w:after="120"/>
        <w:ind w:left="0" w:right="0" w:hanging="0"/>
        <w:jc w:val="left"/>
        <w:rPr/>
      </w:pPr>
      <w:r>
        <w:rPr/>
        <w:t>​</w:t>
      </w:r>
    </w:p>
    <w:p>
      <w:pPr>
        <w:pStyle w:val="TextBody"/>
        <w:bidi w:val="0"/>
        <w:spacing w:lineRule="auto" w:line="314" w:before="0" w:after="12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15.         Segments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U.S. and Canada are the only operating segments for the Company.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bookmarkStart w:id="911" w:name="Tc_CkY6kMzg3k6R05r3EpYZxQ_28_8"/>
      <w:bookmarkStart w:id="912" w:name="Tc_04ZvQWH6XUKQ1CurQckF7A_28_5"/>
      <w:bookmarkStart w:id="913" w:name="Tc_EBh2KxQcAU6_bJw7WcfrmQ_28_2"/>
      <w:bookmarkStart w:id="914" w:name="Tc_EyIBHsm6KUOagJUXPlHQAQ_28_0"/>
      <w:bookmarkStart w:id="915" w:name="Tc_1X3zLvz_f02yswTJTLzZ2g_26_8"/>
      <w:bookmarkStart w:id="916" w:name="Tc_GKBtP2xx4UGPaMLFcYGvfA_26_5"/>
      <w:bookmarkStart w:id="917" w:name="Tc_ivTCCR6z0kOMWddc9CiLIQ_26_2"/>
      <w:bookmarkStart w:id="918" w:name="Tc_1vUJqlKRD0CXfwN1pBaWhg_26_0"/>
      <w:bookmarkStart w:id="919" w:name="Tc_moBGgVwJTUShsFi9n53iCg_25_6"/>
      <w:bookmarkStart w:id="920" w:name="Tc_c70Vd0s32UO0z8yFO_dAZQ_25_0"/>
      <w:bookmarkStart w:id="921" w:name="Tc_bYOMNUkEUk22WSjq2nYMag_24_9"/>
      <w:bookmarkStart w:id="922" w:name="Tc_U7NV8Mdn9UeNuECoYzgS0g_24_6"/>
      <w:bookmarkStart w:id="923" w:name="Tc_cFSb4UuXo0S4BRit6HElMA_24_3"/>
      <w:bookmarkStart w:id="924" w:name="Tc_sIzdDPI5B0uV3CWPy7Pc5A_24_0"/>
      <w:bookmarkStart w:id="925" w:name="Tc_EzHOR1kgjUuC05K3uiK3HQ_23_6"/>
      <w:bookmarkStart w:id="926" w:name="Tc_c-v9daSURkCpKKkssnUdMw_23_0"/>
      <w:bookmarkStart w:id="927" w:name="Tc_YktH3fXC_k-PsgRKf2P3ug_22_0"/>
      <w:bookmarkStart w:id="928" w:name="Tc_qc5bkbglcU6Vo0OdeLpy9g_21_0"/>
      <w:bookmarkStart w:id="929" w:name="Tc_vWtaoUMy3EGn8niVpjt72w_20_0"/>
      <w:bookmarkStart w:id="930" w:name="Tc_mj9UgvaomEyUbbnd3qEkVQ_19_0"/>
      <w:bookmarkStart w:id="931" w:name="Tc_v6Xyjqm0tUmDHZHbkb0Efg_18_0"/>
      <w:bookmarkStart w:id="932" w:name="Tc_9hGolOXdPEGoskJfIwqP6g_16_0"/>
      <w:bookmarkStart w:id="933" w:name="Tc_Jzdv7Vh_tEmJv8Nw79TCCQ_13_0"/>
      <w:bookmarkStart w:id="934" w:name="Tc__gL1XLka-EiOp-Ke2AxfHg_12_0"/>
      <w:bookmarkStart w:id="935" w:name="Tc_jH2_4m-_WEGy9akYKcwJ-A_11_0"/>
      <w:bookmarkStart w:id="936" w:name="Tc_MYcyMkEE70yZw9X8G2_ksA_10_0"/>
      <w:bookmarkStart w:id="937" w:name="Tc_CCt1DlB4iEysUf1zPmN0sA_9_0"/>
      <w:bookmarkStart w:id="938" w:name="Tc_CzmSaw07rkaHgK5QrtfThw_8_0"/>
      <w:bookmarkStart w:id="939" w:name="Tc__vZUP_4g8UGGChRTwEE-Qw_5_0"/>
      <w:bookmarkStart w:id="940" w:name="Tc_Cuv7EXEA50ygq2hiWq32YQ_4_8"/>
      <w:bookmarkStart w:id="941" w:name="Tc_-OP5BLGkGUeSBC9-AwsLNA_4_5"/>
      <w:bookmarkStart w:id="942" w:name="Tc_YVc-FUi01UGjJzSNyroXCw_4_2"/>
      <w:bookmarkStart w:id="943" w:name="Tc_2f0quCaCuEqicd8ArpHYaw_4_0"/>
      <w:bookmarkStart w:id="944" w:name="Tc_P9nRlC56tkirX4vZ5JKDhw_3_0"/>
      <w:bookmarkStart w:id="945" w:name="Tc_TTGrVCUd8Uartc_38f7nyw_2_8"/>
      <w:bookmarkStart w:id="946" w:name="Tc_1gQ951Oq4ESZEqudcD2jVA_2_5"/>
      <w:bookmarkStart w:id="947" w:name="Tc_OB_hlXXa4EqB_ey9pgj8Rw_2_2"/>
      <w:bookmarkStart w:id="948" w:name="Tc_rrPLkPeKzkKcZ3VZNEC45Q_1_2"/>
      <w:bookmarkStart w:id="949" w:name="_6fcb4694_7710_4e9a_a466_5c5ecd462c51"/>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ascii="Times New Roman;Times;serif" w:hAnsi="Times New Roman;Times;serif"/>
          <w:sz w:val="20"/>
        </w:rPr>
        <w:t>The CODM manages and assesses the performance of the reportable segments by their adjusted EBITDA. The Company defines adjusted EBITDA as our net income (loss), before (i) interest expense, net, (ii) income tax expense or benefit, (iii) depreciation and amortization and (iv) non-recurring and other charges, such as strategic transaction costs or severance expenses. The CODM reviews the adjusted EBITDA of the Company’s reportable segments, which drives the evaluation of the performance of the Company’s reportable segments and allocation of resources to those segments. The significant expense categories reviewed by the CODM are those presented on the face of the consolidated statement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Beginning in the year ended December 31, 2024, a portion of the management charges incurred by the U.S. segment were allocated to the Canadian segment based upon an activity level determined to be appropriate by management. These charges totaled approximately $0.3 million and $0.3 million for the years ended December 31,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Disclosures of net property and equipment, capital expenditures and right-of-use assets are excluded because such information is not regularly reviewed by the CODM in making resource allocation decisions.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following tables present the Company’s income statements by operating segment (in thousands):</w:t>
      </w:r>
    </w:p>
    <w:tbl>
      <w:tblPr>
        <w:tblW w:w="6674" w:type="dxa"/>
        <w:jc w:val="left"/>
        <w:tblInd w:w="0" w:type="dxa"/>
        <w:tblLayout w:type="fixed"/>
        <w:tblCellMar>
          <w:top w:w="0" w:type="dxa"/>
          <w:left w:w="0" w:type="dxa"/>
          <w:bottom w:w="0" w:type="dxa"/>
          <w:right w:w="0" w:type="dxa"/>
        </w:tblCellMar>
      </w:tblPr>
      <w:tblGrid>
        <w:gridCol w:w="2431"/>
        <w:gridCol w:w="109"/>
        <w:gridCol w:w="333"/>
        <w:gridCol w:w="957"/>
        <w:gridCol w:w="109"/>
        <w:gridCol w:w="395"/>
        <w:gridCol w:w="1135"/>
        <w:gridCol w:w="109"/>
        <w:gridCol w:w="255"/>
        <w:gridCol w:w="84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543685" cy="175260"/>
                      <wp:effectExtent l="0" t="0" r="0" b="0"/>
                      <wp:wrapNone/>
                      <wp:docPr id="274" name="Frame274"/>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1455" cy="175260"/>
                      <wp:effectExtent l="0" t="0" r="0" b="0"/>
                      <wp:wrapNone/>
                      <wp:docPr id="276" name="Frame27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07695" cy="175260"/>
                      <wp:effectExtent l="0" t="0" r="0" b="0"/>
                      <wp:wrapNone/>
                      <wp:docPr id="277" name="Frame27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0825" cy="175260"/>
                      <wp:effectExtent l="0" t="0" r="0" b="0"/>
                      <wp:wrapNone/>
                      <wp:docPr id="279" name="Frame27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0725" cy="175260"/>
                      <wp:effectExtent l="0" t="0" r="0" b="0"/>
                      <wp:wrapNone/>
                      <wp:docPr id="280" name="Frame280"/>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1925" cy="175260"/>
                      <wp:effectExtent l="0" t="0" r="0" b="0"/>
                      <wp:wrapNone/>
                      <wp:docPr id="282" name="Frame28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34035" cy="175260"/>
                      <wp:effectExtent l="0" t="0" r="0" b="0"/>
                      <wp:wrapNone/>
                      <wp:docPr id="283" name="Frame2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2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revenues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center"/>
              <w:rPr>
                <w:color w:val="FF0000"/>
              </w:rPr>
            </w:pPr>
            <w:r>
              <w:rPr>
                <w:color w:val="FF0000"/>
              </w:rPr>
              <w:t>​</w:t>
            </w:r>
          </w:p>
        </w:tc>
        <w:tc>
          <w:tcPr>
            <w:tcW w:w="841" w:type="dxa"/>
            <w:tcBorders/>
            <w:shd w:fill="CCEEFF" w:val="clear"/>
            <w:vAlign w:val="center"/>
          </w:tcPr>
          <w:p>
            <w:pPr>
              <w:pStyle w:val="TableContents"/>
              <w:bidi w:val="0"/>
              <w:spacing w:before="0" w:after="0"/>
              <w:ind w:left="0" w:right="0" w:hanging="0"/>
              <w:jc w:val="center"/>
              <w:rPr>
                <w:color w:val="FF0000"/>
              </w:rPr>
            </w:pPr>
            <w:r>
              <w:rPr>
                <w:color w:val="FF0000"/>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 revenue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46,350</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15,526</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61,876</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Reimbursable revenue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13,484</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13,749</w:t>
            </w:r>
          </w:p>
        </w:tc>
      </w:tr>
      <w:tr>
        <w:trPr/>
        <w:tc>
          <w:tcPr>
            <w:tcW w:w="2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59,834</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15,791</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75,625</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costs:</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 operating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37,748</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11,112</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48,860</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Reimbursable operating expenses</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13,484</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13,749</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51,232</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11,377</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62,609</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7,565</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9,010</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5,670</w:t>
            </w:r>
          </w:p>
        </w:tc>
      </w:tr>
      <w:tr>
        <w:trPr/>
        <w:tc>
          <w:tcPr>
            <w:tcW w:w="2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63,656</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13,633</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77,289</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from operations</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(3,822)</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(1,664)</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before income tax</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(4,076)</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2,141</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 expense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(4,082)</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2,141</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(1,941)</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109"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2,976</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4,682</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50" w:name="Tc_HqHxYwf0G0etwfKGzzT6QA_6_5"/>
      <w:bookmarkStart w:id="951" w:name="Tc_UloCS16F1UKwcTF0JS3U_g_6_2"/>
      <w:bookmarkStart w:id="952" w:name="Tc_f8MMbIOk8U27i3xw4a-DtQ_6_0"/>
      <w:bookmarkStart w:id="953" w:name="Tc_nLCEwhUJyUWcHRbBSIUClQ_5_0"/>
      <w:bookmarkStart w:id="954" w:name="Tc_la_WVxIbEU6sSLQ70NmWzw_4_5"/>
      <w:bookmarkStart w:id="955" w:name="Tc_vdlQw1xQX06Js_LPk-2NdQ_4_2"/>
      <w:bookmarkStart w:id="956" w:name="Tc_8VywKMVvmE2WKuOAPHFn4g_4_0"/>
      <w:bookmarkStart w:id="957" w:name="Tc_XDRwOWWkpU6LQbWoKUTXrg_3_0"/>
      <w:bookmarkStart w:id="958" w:name="Tc_neLl6oQOREqS1HBeZXhI6g_2_5"/>
      <w:bookmarkStart w:id="959" w:name="Tc_TAoEEF-v6kyOEnqgle_b2Q_2_2"/>
      <w:bookmarkStart w:id="960" w:name="Tc_NRivlFMF5U2lLb8jj4q07A_1_5"/>
      <w:bookmarkStart w:id="961" w:name="Tc_fuUOcP-yc0KZiLnDMJVDVA_1_2"/>
      <w:bookmarkStart w:id="962" w:name="_3e7506a8_4431_49e5_8a4d_644d520b9870"/>
      <w:bookmarkStart w:id="963" w:name="Tc_nhquDAwBBEmBdPJ5ch_L2w_10_16"/>
      <w:bookmarkStart w:id="964" w:name="Tc_vTx7OomGcUO0rHhEj8CgWg_10_13"/>
      <w:bookmarkStart w:id="965" w:name="Tc_vTy7WoHHl06P82SU7ObkJg_10_10"/>
      <w:bookmarkStart w:id="966" w:name="Tc_tbdzLsfkN0SlGmY9gMJGiw_10_7"/>
      <w:bookmarkStart w:id="967" w:name="Tc_IDhc1mp0gkSf6WNxjQR0nA_10_4"/>
      <w:bookmarkStart w:id="968" w:name="Tc_1uyzW15ZIk-bJTU3sphXNQ_10_1"/>
      <w:bookmarkStart w:id="969" w:name="Tc_efZ3wKZd50q6zZfHiiZuOA_10_0"/>
      <w:bookmarkStart w:id="970" w:name="Tc_s_gCfRzOOEWWog4nhlHjug_9_14"/>
      <w:bookmarkStart w:id="971" w:name="Tc_mPsFrrc_LEa_MD0XrrXUMA_9_8"/>
      <w:bookmarkStart w:id="972" w:name="Tc_8RN6YazVGU6FLDtwahqaRg_9_5"/>
      <w:bookmarkStart w:id="973" w:name="Tc_ZZHbzWmRJkeyszQhJvObQg_9_2"/>
      <w:bookmarkStart w:id="974" w:name="Tc_mtZ4NGvxEUK4CrYsHRYB2Q_9_0"/>
      <w:bookmarkStart w:id="975" w:name="Tc_VC91nZMWgEaG-_ELAXXOpQ_8_17"/>
      <w:bookmarkStart w:id="976" w:name="Tc_l38dL8Y-sU2KdiUYR5pFkA_8_14"/>
      <w:bookmarkStart w:id="977" w:name="Tc_-T98sSgAb0ykFv3KHQivNw_8_11"/>
      <w:bookmarkStart w:id="978" w:name="Tc_YVvn1ZAhR06qdBBoEB1rJw_8_5"/>
      <w:bookmarkStart w:id="979" w:name="Tc_Gx15MBSigUaNrZIpSSFsbA_8_0"/>
      <w:bookmarkStart w:id="980" w:name="Tc_On5ZDY_vEEWEDIOf8t5WGQ_7_0"/>
      <w:bookmarkStart w:id="981" w:name="Tc_RfaM1j6xNUGm4-MpVd6FWQ_6_14"/>
      <w:bookmarkStart w:id="982" w:name="Tc_b0RnFBT8sUaxq0Htdam8gg_6_5"/>
      <w:bookmarkStart w:id="983" w:name="Tc_scE3dKTTu0GFxuGenXH6OA_6_0"/>
      <w:bookmarkStart w:id="984" w:name="Tc_Pp_a1B5JR0SNFzfu6knh6A_5_0"/>
      <w:bookmarkStart w:id="985" w:name="Tc_Zl49HRWPPk2WWeGcNutURg_4_0"/>
      <w:bookmarkStart w:id="986" w:name="Tc_aAoHeerMuEepdAp7rtQK7w_3_16"/>
      <w:bookmarkStart w:id="987" w:name="Tc_LaJjEzSxmEm7aEFc-YEWHA_3_13"/>
      <w:bookmarkStart w:id="988" w:name="Tc_OVG7THrer0ORQG83Qn77iA_3_10"/>
      <w:bookmarkStart w:id="989" w:name="Tc_2F_Bdqh7iEeTs_0WsG8R8A_3_7"/>
      <w:bookmarkStart w:id="990" w:name="Tc_N_Tt9t8HhkSbCGqqEDAOfg_3_4"/>
      <w:bookmarkStart w:id="991" w:name="Tc_OJdsq5yAp0Wc8yyePrUsuQ_3_1"/>
      <w:bookmarkStart w:id="992" w:name="Tc_bWUdorouy02pbJ3M6phVSA_3_0"/>
      <w:bookmarkStart w:id="993" w:name="Tc_mdIJTNPVEUGFy0HAwjVyvw_2_16"/>
      <w:bookmarkStart w:id="994" w:name="Tc_3E8Lua40DEGAbIc0UYLrTg_2_13"/>
      <w:bookmarkStart w:id="995" w:name="Tc_klwsr5z-AkSVRxR4XivY8Q_2_10"/>
      <w:bookmarkStart w:id="996" w:name="Tc_krilqG3XiU2X7ywK1LWbBg_2_7"/>
      <w:bookmarkStart w:id="997" w:name="Tc_uN9HNttXRUWAKoAODnFUkQ_2_4"/>
      <w:bookmarkStart w:id="998" w:name="Tc_IKHkK5Zd9USpsptYpbeVow_2_1"/>
      <w:bookmarkStart w:id="999" w:name="Tc_EF5auZgtWEOmTHKW1cKB5w_1_1"/>
      <w:bookmarkStart w:id="1000" w:name="_4fc2e1b7_bb9a_4bc1_8144_05d46284510f"/>
      <w:bookmarkStart w:id="1001" w:name="Tc_VQY0fYnVmk-a2ouW70ThNw_26_8"/>
      <w:bookmarkStart w:id="1002" w:name="Tc_RuqPqj9mm0yEjI3qNK6yXg_26_5"/>
      <w:bookmarkStart w:id="1003" w:name="Tc_9ko9DsD3606bkdFimquuzQ_26_2"/>
      <w:bookmarkStart w:id="1004" w:name="Tc_EbwBP9ELe06Q17eFx24heA_26_0"/>
      <w:bookmarkStart w:id="1005" w:name="Tc_Fh3v2ckM-0-Og62t72ZOGQ_24_8"/>
      <w:bookmarkStart w:id="1006" w:name="Tc_SK1cmGOhF0mZ8iiYeDPvSA_24_5"/>
      <w:bookmarkStart w:id="1007" w:name="Tc_f3E6-P4wAkKk3zp5WiMhTA_24_2"/>
      <w:bookmarkStart w:id="1008" w:name="Tc_fqc8sBC7V0G8du9UntYIoQ_24_0"/>
      <w:bookmarkStart w:id="1009" w:name="Tc_ny_a6okGv0GutzI2BAQjSA_23_6"/>
      <w:bookmarkStart w:id="1010" w:name="Tc_FqiF0DBDkUKbBaySkcMCdA_23_0"/>
      <w:bookmarkStart w:id="1011" w:name="Tc_fccfIBr6bkWQUlmsP6ExZg_22_0"/>
      <w:bookmarkStart w:id="1012" w:name="Tc_9vimeRM8xEWjxcmx_pg8kg_21_0"/>
      <w:bookmarkStart w:id="1013" w:name="Tc_pVrhm-JOwUS5G_5gxTTeYA_20_0"/>
      <w:bookmarkStart w:id="1014" w:name="Tc_84eSHpRshEC3lQEBtp3tYg_19_0"/>
      <w:bookmarkStart w:id="1015" w:name="Tc_LzGhG0ImPUa7VEV4d8ZYmQ_18_0"/>
      <w:bookmarkStart w:id="1016" w:name="Tc_vEBs_ugCSkyWzIsiZKZ2Mw_16_0"/>
      <w:bookmarkStart w:id="1017" w:name="Tc_bN5uLDUGIUmKPf-H5JhVeQ_13_0"/>
      <w:bookmarkStart w:id="1018" w:name="Tc_gBNJSCC8Y0CZZsUHbtv3PA_12_0"/>
      <w:bookmarkStart w:id="1019" w:name="Tc_y1-RENaCA0O-VUdLaHBb7Q_11_0"/>
      <w:bookmarkStart w:id="1020" w:name="Tc_tWyzAVHpMUKMKnHqvZ6aZQ_10_0"/>
      <w:bookmarkStart w:id="1021" w:name="Tc_N-df7w2tPUeME9-1ybULJw_9_0"/>
      <w:bookmarkStart w:id="1022" w:name="Tc_ubBondne_U614gpftAYd9w_8_0"/>
      <w:bookmarkStart w:id="1023" w:name="Tc_jAVbaPTCR0Kpaf3v8lG_AQ_5_0"/>
      <w:bookmarkStart w:id="1024" w:name="Tc_G42YH2R3tk6iISjXA_97MA_4_8"/>
      <w:bookmarkStart w:id="1025" w:name="Tc_Udvcq5WzbEi4gt9H3mmXnA_4_5"/>
      <w:bookmarkStart w:id="1026" w:name="Tc_aynC0gV4jUmuDdmK28BAVw_4_2"/>
      <w:bookmarkStart w:id="1027" w:name="Tc_MAqk5pbKqkmq1hI5fLvHuQ_4_0"/>
      <w:bookmarkStart w:id="1028" w:name="Tc_GtCOw-h990mnMyi0zwrKCA_3_0"/>
      <w:bookmarkStart w:id="1029" w:name="Tc_C-0soIYJlEif8TrnVzot5A_2_8"/>
      <w:bookmarkStart w:id="1030" w:name="Tc_d_HT1fIBzUOlIvkPpFgWqw_2_5"/>
      <w:bookmarkStart w:id="1031" w:name="Tc_Kfbwaw0gl0Kib8wHvYO1HA_2_2"/>
      <w:bookmarkStart w:id="1032" w:name="Tc_i4nDPBxNAEqKKSpAEq6z9Q_1_2"/>
      <w:bookmarkStart w:id="1033" w:name="_879a9bc4_a1b4_4843_a9c1_52176f474d3a"/>
      <w:bookmarkStart w:id="1034" w:name="Tc_HqHxYwf0G0etwfKGzzT6QA_6_5"/>
      <w:bookmarkStart w:id="1035" w:name="Tc_UloCS16F1UKwcTF0JS3U_g_6_2"/>
      <w:bookmarkStart w:id="1036" w:name="Tc_f8MMbIOk8U27i3xw4a-DtQ_6_0"/>
      <w:bookmarkStart w:id="1037" w:name="Tc_nLCEwhUJyUWcHRbBSIUClQ_5_0"/>
      <w:bookmarkStart w:id="1038" w:name="Tc_la_WVxIbEU6sSLQ70NmWzw_4_5"/>
      <w:bookmarkStart w:id="1039" w:name="Tc_vdlQw1xQX06Js_LPk-2NdQ_4_2"/>
      <w:bookmarkStart w:id="1040" w:name="Tc_8VywKMVvmE2WKuOAPHFn4g_4_0"/>
      <w:bookmarkStart w:id="1041" w:name="Tc_XDRwOWWkpU6LQbWoKUTXrg_3_0"/>
      <w:bookmarkStart w:id="1042" w:name="Tc_neLl6oQOREqS1HBeZXhI6g_2_5"/>
      <w:bookmarkStart w:id="1043" w:name="Tc_TAoEEF-v6kyOEnqgle_b2Q_2_2"/>
      <w:bookmarkStart w:id="1044" w:name="Tc_NRivlFMF5U2lLb8jj4q07A_1_5"/>
      <w:bookmarkStart w:id="1045" w:name="Tc_fuUOcP-yc0KZiLnDMJVDVA_1_2"/>
      <w:bookmarkStart w:id="1046" w:name="_3e7506a8_4431_49e5_8a4d_644d520b9870"/>
      <w:bookmarkStart w:id="1047" w:name="Tc_nhquDAwBBEmBdPJ5ch_L2w_10_16"/>
      <w:bookmarkStart w:id="1048" w:name="Tc_vTx7OomGcUO0rHhEj8CgWg_10_13"/>
      <w:bookmarkStart w:id="1049" w:name="Tc_vTy7WoHHl06P82SU7ObkJg_10_10"/>
      <w:bookmarkStart w:id="1050" w:name="Tc_tbdzLsfkN0SlGmY9gMJGiw_10_7"/>
      <w:bookmarkStart w:id="1051" w:name="Tc_IDhc1mp0gkSf6WNxjQR0nA_10_4"/>
      <w:bookmarkStart w:id="1052" w:name="Tc_1uyzW15ZIk-bJTU3sphXNQ_10_1"/>
      <w:bookmarkStart w:id="1053" w:name="Tc_efZ3wKZd50q6zZfHiiZuOA_10_0"/>
      <w:bookmarkStart w:id="1054" w:name="Tc_s_gCfRzOOEWWog4nhlHjug_9_14"/>
      <w:bookmarkStart w:id="1055" w:name="Tc_mPsFrrc_LEa_MD0XrrXUMA_9_8"/>
      <w:bookmarkStart w:id="1056" w:name="Tc_8RN6YazVGU6FLDtwahqaRg_9_5"/>
      <w:bookmarkStart w:id="1057" w:name="Tc_ZZHbzWmRJkeyszQhJvObQg_9_2"/>
      <w:bookmarkStart w:id="1058" w:name="Tc_mtZ4NGvxEUK4CrYsHRYB2Q_9_0"/>
      <w:bookmarkStart w:id="1059" w:name="Tc_VC91nZMWgEaG-_ELAXXOpQ_8_17"/>
      <w:bookmarkStart w:id="1060" w:name="Tc_l38dL8Y-sU2KdiUYR5pFkA_8_14"/>
      <w:bookmarkStart w:id="1061" w:name="Tc_-T98sSgAb0ykFv3KHQivNw_8_11"/>
      <w:bookmarkStart w:id="1062" w:name="Tc_YVvn1ZAhR06qdBBoEB1rJw_8_5"/>
      <w:bookmarkStart w:id="1063" w:name="Tc_Gx15MBSigUaNrZIpSSFsbA_8_0"/>
      <w:bookmarkStart w:id="1064" w:name="Tc_On5ZDY_vEEWEDIOf8t5WGQ_7_0"/>
      <w:bookmarkStart w:id="1065" w:name="Tc_RfaM1j6xNUGm4-MpVd6FWQ_6_14"/>
      <w:bookmarkStart w:id="1066" w:name="Tc_b0RnFBT8sUaxq0Htdam8gg_6_5"/>
      <w:bookmarkStart w:id="1067" w:name="Tc_scE3dKTTu0GFxuGenXH6OA_6_0"/>
      <w:bookmarkStart w:id="1068" w:name="Tc_Pp_a1B5JR0SNFzfu6knh6A_5_0"/>
      <w:bookmarkStart w:id="1069" w:name="Tc_Zl49HRWPPk2WWeGcNutURg_4_0"/>
      <w:bookmarkStart w:id="1070" w:name="Tc_aAoHeerMuEepdAp7rtQK7w_3_16"/>
      <w:bookmarkStart w:id="1071" w:name="Tc_LaJjEzSxmEm7aEFc-YEWHA_3_13"/>
      <w:bookmarkStart w:id="1072" w:name="Tc_OVG7THrer0ORQG83Qn77iA_3_10"/>
      <w:bookmarkStart w:id="1073" w:name="Tc_2F_Bdqh7iEeTs_0WsG8R8A_3_7"/>
      <w:bookmarkStart w:id="1074" w:name="Tc_N_Tt9t8HhkSbCGqqEDAOfg_3_4"/>
      <w:bookmarkStart w:id="1075" w:name="Tc_OJdsq5yAp0Wc8yyePrUsuQ_3_1"/>
      <w:bookmarkStart w:id="1076" w:name="Tc_bWUdorouy02pbJ3M6phVSA_3_0"/>
      <w:bookmarkStart w:id="1077" w:name="Tc_mdIJTNPVEUGFy0HAwjVyvw_2_16"/>
      <w:bookmarkStart w:id="1078" w:name="Tc_3E8Lua40DEGAbIc0UYLrTg_2_13"/>
      <w:bookmarkStart w:id="1079" w:name="Tc_klwsr5z-AkSVRxR4XivY8Q_2_10"/>
      <w:bookmarkStart w:id="1080" w:name="Tc_krilqG3XiU2X7ywK1LWbBg_2_7"/>
      <w:bookmarkStart w:id="1081" w:name="Tc_uN9HNttXRUWAKoAODnFUkQ_2_4"/>
      <w:bookmarkStart w:id="1082" w:name="Tc_IKHkK5Zd9USpsptYpbeVow_2_1"/>
      <w:bookmarkStart w:id="1083" w:name="Tc_EF5auZgtWEOmTHKW1cKB5w_1_1"/>
      <w:bookmarkStart w:id="1084" w:name="_4fc2e1b7_bb9a_4bc1_8144_05d46284510f"/>
      <w:bookmarkStart w:id="1085" w:name="Tc_VQY0fYnVmk-a2ouW70ThNw_26_8"/>
      <w:bookmarkStart w:id="1086" w:name="Tc_RuqPqj9mm0yEjI3qNK6yXg_26_5"/>
      <w:bookmarkStart w:id="1087" w:name="Tc_9ko9DsD3606bkdFimquuzQ_26_2"/>
      <w:bookmarkStart w:id="1088" w:name="Tc_EbwBP9ELe06Q17eFx24heA_26_0"/>
      <w:bookmarkStart w:id="1089" w:name="Tc_Fh3v2ckM-0-Og62t72ZOGQ_24_8"/>
      <w:bookmarkStart w:id="1090" w:name="Tc_SK1cmGOhF0mZ8iiYeDPvSA_24_5"/>
      <w:bookmarkStart w:id="1091" w:name="Tc_f3E6-P4wAkKk3zp5WiMhTA_24_2"/>
      <w:bookmarkStart w:id="1092" w:name="Tc_fqc8sBC7V0G8du9UntYIoQ_24_0"/>
      <w:bookmarkStart w:id="1093" w:name="Tc_ny_a6okGv0GutzI2BAQjSA_23_6"/>
      <w:bookmarkStart w:id="1094" w:name="Tc_FqiF0DBDkUKbBaySkcMCdA_23_0"/>
      <w:bookmarkStart w:id="1095" w:name="Tc_fccfIBr6bkWQUlmsP6ExZg_22_0"/>
      <w:bookmarkStart w:id="1096" w:name="Tc_9vimeRM8xEWjxcmx_pg8kg_21_0"/>
      <w:bookmarkStart w:id="1097" w:name="Tc_pVrhm-JOwUS5G_5gxTTeYA_20_0"/>
      <w:bookmarkStart w:id="1098" w:name="Tc_84eSHpRshEC3lQEBtp3tYg_19_0"/>
      <w:bookmarkStart w:id="1099" w:name="Tc_LzGhG0ImPUa7VEV4d8ZYmQ_18_0"/>
      <w:bookmarkStart w:id="1100" w:name="Tc_vEBs_ugCSkyWzIsiZKZ2Mw_16_0"/>
      <w:bookmarkStart w:id="1101" w:name="Tc_bN5uLDUGIUmKPf-H5JhVeQ_13_0"/>
      <w:bookmarkStart w:id="1102" w:name="Tc_gBNJSCC8Y0CZZsUHbtv3PA_12_0"/>
      <w:bookmarkStart w:id="1103" w:name="Tc_y1-RENaCA0O-VUdLaHBb7Q_11_0"/>
      <w:bookmarkStart w:id="1104" w:name="Tc_tWyzAVHpMUKMKnHqvZ6aZQ_10_0"/>
      <w:bookmarkStart w:id="1105" w:name="Tc_N-df7w2tPUeME9-1ybULJw_9_0"/>
      <w:bookmarkStart w:id="1106" w:name="Tc_ubBondne_U614gpftAYd9w_8_0"/>
      <w:bookmarkStart w:id="1107" w:name="Tc_jAVbaPTCR0Kpaf3v8lG_AQ_5_0"/>
      <w:bookmarkStart w:id="1108" w:name="Tc_G42YH2R3tk6iISjXA_97MA_4_8"/>
      <w:bookmarkStart w:id="1109" w:name="Tc_Udvcq5WzbEi4gt9H3mmXnA_4_5"/>
      <w:bookmarkStart w:id="1110" w:name="Tc_aynC0gV4jUmuDdmK28BAVw_4_2"/>
      <w:bookmarkStart w:id="1111" w:name="Tc_MAqk5pbKqkmq1hI5fLvHuQ_4_0"/>
      <w:bookmarkStart w:id="1112" w:name="Tc_GtCOw-h990mnMyi0zwrKCA_3_0"/>
      <w:bookmarkStart w:id="1113" w:name="Tc_C-0soIYJlEif8TrnVzot5A_2_8"/>
      <w:bookmarkStart w:id="1114" w:name="Tc_d_HT1fIBzUOlIvkPpFgWqw_2_5"/>
      <w:bookmarkStart w:id="1115" w:name="Tc_Kfbwaw0gl0Kib8wHvYO1HA_2_2"/>
      <w:bookmarkStart w:id="1116" w:name="Tc_i4nDPBxNAEqKKSpAEq6z9Q_1_2"/>
      <w:bookmarkStart w:id="1117" w:name="_879a9bc4_a1b4_4843_a9c1_52176f474d3a"/>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tbl>
      <w:tblPr>
        <w:tblW w:w="6704" w:type="dxa"/>
        <w:jc w:val="left"/>
        <w:tblInd w:w="0" w:type="dxa"/>
        <w:tblLayout w:type="fixed"/>
        <w:tblCellMar>
          <w:top w:w="0" w:type="dxa"/>
          <w:left w:w="0" w:type="dxa"/>
          <w:bottom w:w="0" w:type="dxa"/>
          <w:right w:w="0" w:type="dxa"/>
        </w:tblCellMar>
      </w:tblPr>
      <w:tblGrid>
        <w:gridCol w:w="2461"/>
        <w:gridCol w:w="109"/>
        <w:gridCol w:w="333"/>
        <w:gridCol w:w="957"/>
        <w:gridCol w:w="109"/>
        <w:gridCol w:w="395"/>
        <w:gridCol w:w="1135"/>
        <w:gridCol w:w="109"/>
        <w:gridCol w:w="255"/>
        <w:gridCol w:w="84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562735" cy="175260"/>
                      <wp:effectExtent l="0" t="0" r="0" b="0"/>
                      <wp:wrapNone/>
                      <wp:docPr id="284" name="Frame28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1455" cy="175260"/>
                      <wp:effectExtent l="0" t="0" r="0" b="0"/>
                      <wp:wrapNone/>
                      <wp:docPr id="286" name="Frame28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07695" cy="175260"/>
                      <wp:effectExtent l="0" t="0" r="0" b="0"/>
                      <wp:wrapNone/>
                      <wp:docPr id="287" name="Frame28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50825" cy="175260"/>
                      <wp:effectExtent l="0" t="0" r="0" b="0"/>
                      <wp:wrapNone/>
                      <wp:docPr id="289" name="Frame28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20725" cy="175260"/>
                      <wp:effectExtent l="0" t="0" r="0" b="0"/>
                      <wp:wrapNone/>
                      <wp:docPr id="290" name="Frame290"/>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1925" cy="175260"/>
                      <wp:effectExtent l="0" t="0" r="0" b="0"/>
                      <wp:wrapNone/>
                      <wp:docPr id="292" name="Frame29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34035" cy="175260"/>
                      <wp:effectExtent l="0" t="0" r="0" b="0"/>
                      <wp:wrapNone/>
                      <wp:docPr id="293" name="Frame2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revenues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center"/>
              <w:rPr>
                <w:color w:val="FF0000"/>
              </w:rPr>
            </w:pPr>
            <w:r>
              <w:rPr>
                <w:color w:val="FF0000"/>
              </w:rPr>
              <w:t>​</w:t>
            </w:r>
          </w:p>
        </w:tc>
        <w:tc>
          <w:tcPr>
            <w:tcW w:w="841" w:type="dxa"/>
            <w:tcBorders/>
            <w:shd w:fill="CCEEFF" w:val="clear"/>
            <w:vAlign w:val="center"/>
          </w:tcPr>
          <w:p>
            <w:pPr>
              <w:pStyle w:val="TableContents"/>
              <w:bidi w:val="0"/>
              <w:spacing w:before="0" w:after="0"/>
              <w:ind w:left="0" w:right="0" w:hanging="0"/>
              <w:jc w:val="center"/>
              <w:rPr>
                <w:color w:val="FF0000"/>
              </w:rPr>
            </w:pPr>
            <w:r>
              <w:rPr>
                <w:color w:val="FF0000"/>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 revenue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40,748</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12,731</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53,479</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Reimbursable revenue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20,481</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20,675</w:t>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61,229</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74,154</w:t>
            </w:r>
          </w:p>
        </w:tc>
      </w:tr>
      <w:tr>
        <w:trPr/>
        <w:tc>
          <w:tcPr>
            <w:tcW w:w="24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costs:</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 operating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32,797</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9,549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42,346</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Reimbursable operating expenses</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20,481</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53,278</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9,743</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63,021</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8,542</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9,946</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4,752</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5,736</w:t>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66,572</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12,131</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78,703</w:t>
            </w:r>
          </w:p>
        </w:tc>
      </w:tr>
      <w:tr>
        <w:trPr/>
        <w:tc>
          <w:tcPr>
            <w:tcW w:w="24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income from operations</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(4,549)</w:t>
            </w:r>
          </w:p>
        </w:tc>
      </w:tr>
      <w:tr>
        <w:trPr/>
        <w:tc>
          <w:tcPr>
            <w:tcW w:w="24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income before income tax</w:t>
            </w:r>
          </w:p>
        </w:tc>
        <w:tc>
          <w:tcPr>
            <w:tcW w:w="109"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(4,900)</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(4,112)</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 benefit (expense)</w:t>
            </w:r>
          </w:p>
        </w:tc>
        <w:tc>
          <w:tcPr>
            <w:tcW w:w="109"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income</w:t>
            </w:r>
          </w:p>
        </w:tc>
        <w:tc>
          <w:tcPr>
            <w:tcW w:w="109" w:type="dxa"/>
            <w:tcBorders/>
            <w:vAlign w:val="center"/>
          </w:tcPr>
          <w:p>
            <w:pPr>
              <w:pStyle w:val="TableContents"/>
              <w:bidi w:val="0"/>
              <w:spacing w:before="0" w:after="0"/>
              <w:ind w:left="0" w:right="0" w:hanging="0"/>
              <w:jc w:val="righ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(4,119)</w:t>
            </w:r>
          </w:p>
        </w:tc>
      </w:tr>
      <w:tr>
        <w:trPr/>
        <w:tc>
          <w:tcPr>
            <w:tcW w:w="24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109"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1,769</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1,961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reconciliation of the Company’s Adjusted EBITDA to its net (loss) income, which is the most directly comparable GAAP financial measure, is provided in the following table (in thousands):</w:t>
      </w:r>
    </w:p>
    <w:tbl>
      <w:tblPr>
        <w:tblW w:w="8230" w:type="dxa"/>
        <w:jc w:val="left"/>
        <w:tblInd w:w="0" w:type="dxa"/>
        <w:tblLayout w:type="fixed"/>
        <w:tblCellMar>
          <w:top w:w="0" w:type="dxa"/>
          <w:left w:w="0" w:type="dxa"/>
          <w:bottom w:w="0" w:type="dxa"/>
          <w:right w:w="0" w:type="dxa"/>
        </w:tblCellMar>
      </w:tblPr>
      <w:tblGrid>
        <w:gridCol w:w="2236"/>
        <w:gridCol w:w="196"/>
        <w:gridCol w:w="631"/>
        <w:gridCol w:w="109"/>
        <w:gridCol w:w="216"/>
        <w:gridCol w:w="564"/>
        <w:gridCol w:w="109"/>
        <w:gridCol w:w="259"/>
        <w:gridCol w:w="83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19860" cy="175260"/>
                      <wp:effectExtent l="0" t="0" r="0" b="0"/>
                      <wp:wrapNone/>
                      <wp:docPr id="294" name="Frame29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00685" cy="175260"/>
                      <wp:effectExtent l="0" t="0" r="0" b="0"/>
                      <wp:wrapNone/>
                      <wp:docPr id="295" name="Frame29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58140" cy="175260"/>
                      <wp:effectExtent l="0" t="0" r="0" b="0"/>
                      <wp:wrapNone/>
                      <wp:docPr id="297" name="Frame297"/>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30860" cy="175260"/>
                      <wp:effectExtent l="0" t="0" r="0" b="0"/>
                      <wp:wrapNone/>
                      <wp:docPr id="299" name="Frame29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00685" cy="175260"/>
                      <wp:effectExtent l="0" t="0" r="0" b="0"/>
                      <wp:wrapNone/>
                      <wp:docPr id="301" name="Frame30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58140" cy="175260"/>
                      <wp:effectExtent l="0" t="0" r="0" b="0"/>
                      <wp:wrapNone/>
                      <wp:docPr id="303" name="Frame30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61340" cy="175260"/>
                      <wp:effectExtent l="0" t="0" r="0" b="0"/>
                      <wp:wrapNone/>
                      <wp:docPr id="305" name="Frame30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599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223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(4,082)</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2,141</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4,859</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5,736</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1,961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pPr>
      <w:r>
        <w:rPr/>
        <w:t> </w:t>
      </w:r>
      <w:r>
        <w:rPr>
          <w:rFonts w:ascii="Times New Roman;Times;serif" w:hAnsi="Times New Roman;Times;serif"/>
          <w:sz w:val="20"/>
        </w:rPr>
        <w:t>The following table presents the Company’s total assets by operating segment (in thousands):</w:t>
      </w:r>
    </w:p>
    <w:tbl>
      <w:tblPr>
        <w:tblW w:w="4026" w:type="dxa"/>
        <w:jc w:val="left"/>
        <w:tblInd w:w="0" w:type="dxa"/>
        <w:tblLayout w:type="fixed"/>
        <w:tblCellMar>
          <w:top w:w="0" w:type="dxa"/>
          <w:left w:w="0" w:type="dxa"/>
          <w:bottom w:w="0" w:type="dxa"/>
          <w:right w:w="0" w:type="dxa"/>
        </w:tblCellMar>
      </w:tblPr>
      <w:tblGrid>
        <w:gridCol w:w="1201"/>
        <w:gridCol w:w="346"/>
        <w:gridCol w:w="281"/>
        <w:gridCol w:w="904"/>
        <w:gridCol w:w="109"/>
        <w:gridCol w:w="252"/>
        <w:gridCol w:w="933"/>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62635" cy="175260"/>
                      <wp:effectExtent l="0" t="0" r="0" b="0"/>
                      <wp:wrapNone/>
                      <wp:docPr id="306" name="Frame30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78435" cy="175260"/>
                      <wp:effectExtent l="0" t="0" r="0" b="0"/>
                      <wp:wrapNone/>
                      <wp:docPr id="308" name="Frame30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74040" cy="175260"/>
                      <wp:effectExtent l="0" t="0" r="0" b="0"/>
                      <wp:wrapNone/>
                      <wp:docPr id="309" name="Frame30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0020" cy="175260"/>
                      <wp:effectExtent l="0" t="0" r="0" b="0"/>
                      <wp:wrapNone/>
                      <wp:docPr id="311" name="Frame3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2455" cy="175260"/>
                      <wp:effectExtent l="0" t="0" r="0" b="0"/>
                      <wp:wrapNone/>
                      <wp:docPr id="312" name="Frame3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center"/>
              <w:rPr/>
            </w:pPr>
            <w:r>
              <w:rPr/>
              <w:t>​</w:t>
            </w:r>
          </w:p>
        </w:tc>
        <w:tc>
          <w:tcPr>
            <w:tcW w:w="90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52" w:type="dxa"/>
            <w:tcBorders/>
            <w:shd w:fill="CCEEFF" w:val="clear"/>
            <w:vAlign w:val="center"/>
          </w:tcPr>
          <w:p>
            <w:pPr>
              <w:pStyle w:val="TableContents"/>
              <w:bidi w:val="0"/>
              <w:spacing w:before="0" w:after="1"/>
              <w:ind w:left="0" w:right="0" w:hanging="0"/>
              <w:jc w:val="center"/>
              <w:rPr/>
            </w:pPr>
            <w:r>
              <w:rPr/>
              <w:t>​</w:t>
            </w:r>
          </w:p>
        </w:tc>
        <w:tc>
          <w:tcPr>
            <w:tcW w:w="933" w:type="dxa"/>
            <w:tcBorders/>
            <w:shd w:fill="CCEEFF" w:val="clear"/>
            <w:vAlign w:val="center"/>
          </w:tcPr>
          <w:p>
            <w:pPr>
              <w:pStyle w:val="TableContents"/>
              <w:bidi w:val="0"/>
              <w:spacing w:before="0" w:after="1"/>
              <w:ind w:left="0" w:right="0" w:hanging="0"/>
              <w:jc w:val="center"/>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48,577</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21,257</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7,433</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9,613</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56,010</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30,870</w:t>
            </w:r>
          </w:p>
        </w:tc>
      </w:tr>
    </w:tbl>
    <w:p>
      <w:pPr>
        <w:pStyle w:val="TextBody"/>
        <w:bidi w:val="0"/>
        <w:spacing w:lineRule="auto" w:line="314" w:before="0" w:after="120"/>
        <w:ind w:left="0" w:right="0" w:hanging="0"/>
        <w:jc w:val="left"/>
        <w:rPr/>
      </w:pPr>
      <w:r>
        <w:rPr/>
        <w:t>​</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16.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the Company is a party to various legal proceedings arising in the ordinary course of business. Although the Company cannot predict the outcomes of any such legal proceedings, management believes that the resolution of pending legal actions will not have a material adverse effect on the Company’s consolidated financial condition, results of operations or liquidity, as the Company believes it is adequately indemnified and insured.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Company experiences contractual disputes with its clients from time to time regarding the payment of invoices or other matters. While the Company seeks to minimize these disputes and maintain good relations with its clients, the Company has experienced in the past, and may experience in the future, disputes that could affect its revenues and results of operations in any period.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240"/>
        <w:ind w:left="0" w:right="0" w:hanging="720"/>
        <w:jc w:val="left"/>
        <w:rPr>
          <w:rFonts w:ascii="Times New Roman;Times;serif" w:hAnsi="Times New Roman;Times;serif"/>
          <w:b/>
          <w:sz w:val="20"/>
        </w:rPr>
      </w:pPr>
      <w:r>
        <w:rPr>
          <w:rFonts w:ascii="Times New Roman;Times;serif" w:hAnsi="Times New Roman;Times;serif"/>
          <w:b/>
          <w:sz w:val="20"/>
        </w:rPr>
        <w:t xml:space="preserve">17.         Recently Issued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(“ASU 2023-09”)</w:t>
      </w:r>
      <w:r>
        <w:rPr>
          <w:rFonts w:ascii="Times New Roman;Times;serif" w:hAnsi="Times New Roman;Times;serif"/>
          <w:i/>
          <w:sz w:val="20"/>
        </w:rPr>
        <w:t>.</w:t>
      </w:r>
      <w:r>
        <w:rPr>
          <w:rFonts w:ascii="Times New Roman;Times;serif" w:hAnsi="Times New Roman;Times;serif"/>
          <w:sz w:val="20"/>
        </w:rPr>
        <w:t xml:space="preserve"> ASU 2023-09 seeks to improve transparency of income tax disclosures by requiring consistent categories and greater disaggregation of information in the rate reconciliation and income taxes paid disclosures. The updated guidance is effective for the Company on January 1, 2025. The Company adopted this ASU 2023-09 for the fiscal year ended December 31, 2025, as required under this standard. See footnote 12.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The Company is currently evaluating the impact of this standard on our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is effective for all entities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of this standard on its disclosures.</w:t>
      </w:r>
    </w:p>
    <w:p>
      <w:pPr>
        <w:pStyle w:val="TextBody"/>
        <w:bidi w:val="0"/>
        <w:spacing w:before="0" w:after="0"/>
        <w:ind w:left="0" w:right="0" w:firstLine="720"/>
        <w:jc w:val="both"/>
        <w:rPr/>
      </w:pPr>
      <w:r>
        <w:rPr/>
        <w:t>​</w:t>
      </w:r>
    </w:p>
    <w:p>
      <w:pPr>
        <w:pStyle w:val="TextBody"/>
        <w:pBdr/>
        <w:bidi w:val="0"/>
        <w:spacing w:lineRule="auto" w:line="285" w:before="0" w:after="240"/>
        <w:ind w:left="0" w:right="0" w:hanging="720"/>
        <w:jc w:val="left"/>
        <w:rPr>
          <w:rFonts w:ascii="Times New Roman;Times;serif" w:hAnsi="Times New Roman;Times;serif"/>
          <w:b/>
          <w:sz w:val="20"/>
        </w:rPr>
      </w:pPr>
      <w:r>
        <w:rPr>
          <w:rFonts w:ascii="Times New Roman;Times;serif" w:hAnsi="Times New Roman;Times;serif"/>
          <w:b/>
          <w:sz w:val="20"/>
        </w:rPr>
        <w:t>18.         Concentrations of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Financial instruments that potentially expose the Company to concentrations of credit risk at any given time may consist of cash and cash equivalents, restricted cash, money market funds and overnight investment accounts, short-term investments in certificates of deposit, trade and other receivables and other current assets. At December 31, 2025 and 2024, the Company had deposits with domestic and international banks in excess of federally insured limits. Management believes the credit risk associated with these deposits is minimal. Money market funds seek to preserve the value of the investment, but it is possible to lose money investing in these funds.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sales are to clients whose activities relate to oil and natural gas exploration and production. The Company generally extends unsecured credit to these clients; therefore, collection of receivables may be affected by the economy surrounding the oil and natural gas industry or other economic conditions. The Company closely monitors extensions of credit and may negotiate payment terms that mitigate risk. </w:t>
      </w:r>
    </w:p>
    <w:p>
      <w:pPr>
        <w:pStyle w:val="TextBody"/>
        <w:bidi w:val="0"/>
        <w:spacing w:lineRule="auto" w:line="314" w:before="0" w:after="12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120"/>
        <w:ind w:left="0" w:right="0" w:hanging="0"/>
        <w:jc w:val="right"/>
        <w:rPr>
          <w:rFonts w:ascii="Times New Roman;Times;serif" w:hAnsi="Times New Roman;Times;serif"/>
          <w:b/>
          <w:sz w:val="20"/>
        </w:rPr>
      </w:pPr>
      <w:bookmarkStart w:id="1118" w:name="dwsn-20251231xex4d2.htm"/>
      <w:bookmarkStart w:id="1119" w:name="ksdwsn20251231xex4d2"/>
      <w:bookmarkEnd w:id="1118"/>
      <w:bookmarkEnd w:id="1119"/>
      <w:r>
        <w:rPr>
          <w:rFonts w:ascii="Times New Roman;Times;serif" w:hAnsi="Times New Roman;Times;serif"/>
          <w:b/>
          <w:sz w:val="20"/>
        </w:rPr>
        <w:t>Exhibit 4.2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Dawson</w:t>
      </w:r>
      <w:r>
        <w:rPr>
          <w:rFonts w:ascii="Times New Roman;Times;serif" w:hAnsi="Times New Roman;Times;serif"/>
          <w:spacing w:val="-3"/>
          <w:sz w:val="20"/>
        </w:rPr>
        <w:t xml:space="preserve"> </w:t>
      </w:r>
      <w:r>
        <w:rPr>
          <w:rFonts w:ascii="Times New Roman;Times;serif" w:hAnsi="Times New Roman;Times;serif"/>
          <w:sz w:val="20"/>
        </w:rPr>
        <w:t>Geophysical</w:t>
      </w:r>
      <w:r>
        <w:rPr>
          <w:rFonts w:ascii="Times New Roman;Times;serif" w:hAnsi="Times New Roman;Times;serif"/>
          <w:spacing w:val="-3"/>
          <w:sz w:val="20"/>
        </w:rPr>
        <w:t xml:space="preserve"> </w:t>
      </w:r>
      <w:r>
        <w:rPr>
          <w:rFonts w:ascii="Times New Roman;Times;serif" w:hAnsi="Times New Roman;Times;serif"/>
          <w:sz w:val="20"/>
        </w:rPr>
        <w:t>Company</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“Company”)</w:t>
      </w:r>
      <w:r>
        <w:rPr>
          <w:rFonts w:ascii="Times New Roman;Times;serif" w:hAnsi="Times New Roman;Times;serif"/>
          <w:spacing w:val="-3"/>
          <w:sz w:val="20"/>
        </w:rPr>
        <w:t xml:space="preserve"> </w:t>
      </w:r>
      <w:r>
        <w:rPr>
          <w:rFonts w:ascii="Times New Roman;Times;serif" w:hAnsi="Times New Roman;Times;serif"/>
          <w:sz w:val="20"/>
        </w:rPr>
        <w:t>has</w:t>
      </w:r>
      <w:r>
        <w:rPr>
          <w:rFonts w:ascii="Times New Roman;Times;serif" w:hAnsi="Times New Roman;Times;serif"/>
          <w:spacing w:val="-3"/>
          <w:sz w:val="20"/>
        </w:rPr>
        <w:t xml:space="preserve"> </w:t>
      </w:r>
      <w:r>
        <w:rPr>
          <w:rFonts w:ascii="Times New Roman;Times;serif" w:hAnsi="Times New Roman;Times;serif"/>
          <w:sz w:val="20"/>
        </w:rPr>
        <w:t>one</w:t>
      </w:r>
      <w:r>
        <w:rPr>
          <w:rFonts w:ascii="Times New Roman;Times;serif" w:hAnsi="Times New Roman;Times;serif"/>
          <w:spacing w:val="-3"/>
          <w:sz w:val="20"/>
        </w:rPr>
        <w:t xml:space="preserve"> </w:t>
      </w:r>
      <w:r>
        <w:rPr>
          <w:rFonts w:ascii="Times New Roman;Times;serif" w:hAnsi="Times New Roman;Times;serif"/>
          <w:sz w:val="20"/>
        </w:rPr>
        <w:t>class</w:t>
      </w:r>
      <w:r>
        <w:rPr>
          <w:rFonts w:ascii="Times New Roman;Times;serif" w:hAnsi="Times New Roman;Times;serif"/>
          <w:spacing w:val="-3"/>
          <w:sz w:val="20"/>
        </w:rPr>
        <w:t xml:space="preserve"> </w:t>
      </w:r>
      <w:r>
        <w:rPr>
          <w:rFonts w:ascii="Times New Roman;Times;serif" w:hAnsi="Times New Roman;Times;serif"/>
          <w:sz w:val="20"/>
        </w:rPr>
        <w:t>of securities registered under Section 12 of the Securities Exchange</w:t>
      </w:r>
      <w:r>
        <w:rPr>
          <w:rFonts w:ascii="Times New Roman;Times;serif" w:hAnsi="Times New Roman;Times;serif"/>
          <w:spacing w:val="-3"/>
          <w:sz w:val="20"/>
        </w:rPr>
        <w:t xml:space="preserve"> </w:t>
      </w:r>
      <w:r>
        <w:rPr>
          <w:rFonts w:ascii="Times New Roman;Times;serif" w:hAnsi="Times New Roman;Times;serif"/>
          <w:sz w:val="20"/>
        </w:rPr>
        <w:t>Act of 1934, as amended (the “Exchange</w:t>
      </w:r>
      <w:r>
        <w:rPr>
          <w:rFonts w:ascii="Times New Roman;Times;serif" w:hAnsi="Times New Roman;Times;serif"/>
          <w:spacing w:val="-3"/>
          <w:sz w:val="20"/>
        </w:rPr>
        <w:t xml:space="preserve"> </w:t>
      </w:r>
      <w:r>
        <w:rPr>
          <w:rFonts w:ascii="Times New Roman;Times;serif" w:hAnsi="Times New Roman;Times;serif"/>
          <w:sz w:val="20"/>
        </w:rPr>
        <w:t>Act”): common stock, par value $0.01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description of our common stock is a summary and does not purport to be complete. This description is based upon, and qualified in its entirety by reference to, the Company’s Amended and Restated Certificate of Formation (as amended, the “Certificate of Formation”) and the Company’s Second Amended and Restated Bylaws (the “Bylaws”), which are exhibits to this</w:t>
      </w:r>
      <w:r>
        <w:rPr>
          <w:rFonts w:ascii="Times New Roman;Times;serif" w:hAnsi="Times New Roman;Times;serif"/>
          <w:spacing w:val="-3"/>
          <w:sz w:val="20"/>
        </w:rPr>
        <w:t xml:space="preserve"> </w:t>
      </w:r>
      <w:r>
        <w:rPr>
          <w:rFonts w:ascii="Times New Roman;Times;serif" w:hAnsi="Times New Roman;Times;serif"/>
          <w:sz w:val="20"/>
        </w:rPr>
        <w:t>Annual Report on Form 10-K and are incorporated by reference herein, and the applicable provisions of the Texas Business Organizations Code. The description may not contain all of the information that is important to you. You should read the Certificate of Formation and Bylaws for a complete description of the rights and preferences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bookmarkStart w:id="1120" w:name="_Hlk34396612"/>
      <w:bookmarkEnd w:id="1120"/>
      <w:r>
        <w:rPr>
          <w:rFonts w:ascii="Times New Roman;Times;serif" w:hAnsi="Times New Roman;Times;serif"/>
          <w:sz w:val="20"/>
        </w:rPr>
        <w:t>The Company’s authorized capital stock consists of 35,000,000 shares of common stock, par value $0.01 per share, and 4,000,000 shares of preferred stock, par value $1.00 per share.</w:t>
      </w:r>
      <w:r>
        <w:rPr>
          <w:rFonts w:ascii="Times New Roman;Times;serif" w:hAnsi="Times New Roman;Times;serif"/>
          <w:spacing w:val="-6"/>
          <w:sz w:val="20"/>
        </w:rPr>
        <w:t xml:space="preserve"> </w:t>
      </w:r>
      <w:r>
        <w:rPr>
          <w:rFonts w:ascii="Times New Roman;Times;serif" w:hAnsi="Times New Roman;Times;serif"/>
          <w:sz w:val="20"/>
        </w:rPr>
        <w:t>As of March 31,</w:t>
      </w:r>
      <w:r>
        <w:rPr>
          <w:rFonts w:ascii="Times New Roman;Times;serif" w:hAnsi="Times New Roman;Times;serif"/>
          <w:spacing w:val="-3"/>
          <w:sz w:val="20"/>
        </w:rPr>
        <w:t xml:space="preserve"> </w:t>
      </w:r>
      <w:r>
        <w:rPr>
          <w:rFonts w:ascii="Times New Roman;Times;serif" w:hAnsi="Times New Roman;Times;serif"/>
          <w:sz w:val="20"/>
        </w:rPr>
        <w:t>2026,</w:t>
      </w:r>
      <w:r>
        <w:rPr>
          <w:rFonts w:ascii="Times New Roman;Times;serif" w:hAnsi="Times New Roman;Times;serif"/>
          <w:spacing w:val="-3"/>
          <w:sz w:val="20"/>
        </w:rPr>
        <w:t xml:space="preserve"> </w:t>
      </w:r>
      <w:r>
        <w:rPr>
          <w:rFonts w:ascii="Times New Roman;Times;serif" w:hAnsi="Times New Roman;Times;serif"/>
          <w:sz w:val="20"/>
        </w:rPr>
        <w:t>there</w:t>
      </w:r>
      <w:r>
        <w:rPr>
          <w:rFonts w:ascii="Times New Roman;Times;serif" w:hAnsi="Times New Roman;Times;serif"/>
          <w:spacing w:val="-3"/>
          <w:sz w:val="20"/>
        </w:rPr>
        <w:t xml:space="preserve"> </w:t>
      </w:r>
      <w:r>
        <w:rPr>
          <w:rFonts w:ascii="Times New Roman;Times;serif" w:hAnsi="Times New Roman;Times;serif"/>
          <w:sz w:val="20"/>
        </w:rPr>
        <w:t>were</w:t>
      </w:r>
      <w:r>
        <w:rPr>
          <w:rFonts w:ascii="Times New Roman;Times;serif" w:hAnsi="Times New Roman;Times;serif"/>
          <w:spacing w:val="-3"/>
          <w:sz w:val="20"/>
        </w:rPr>
        <w:t xml:space="preserve"> </w:t>
      </w:r>
      <w:r>
        <w:rPr>
          <w:rFonts w:ascii="Times New Roman;Times;serif" w:hAnsi="Times New Roman;Times;serif"/>
          <w:sz w:val="20"/>
        </w:rPr>
        <w:t>31,052,840</w:t>
      </w:r>
      <w:r>
        <w:rPr>
          <w:rFonts w:ascii="Times New Roman;Times;serif" w:hAnsi="Times New Roman;Times;serif"/>
          <w:spacing w:val="-3"/>
          <w:sz w:val="20"/>
        </w:rPr>
        <w:t xml:space="preserve"> </w:t>
      </w:r>
      <w:r>
        <w:rPr>
          <w:rFonts w:ascii="Times New Roman;Times;serif" w:hAnsi="Times New Roman;Times;serif"/>
          <w:sz w:val="20"/>
        </w:rPr>
        <w:t>shares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common</w:t>
      </w:r>
      <w:r>
        <w:rPr>
          <w:rFonts w:ascii="Times New Roman;Times;serif" w:hAnsi="Times New Roman;Times;serif"/>
          <w:spacing w:val="-3"/>
          <w:sz w:val="20"/>
        </w:rPr>
        <w:t xml:space="preserve"> </w:t>
      </w:r>
      <w:r>
        <w:rPr>
          <w:rFonts w:ascii="Times New Roman;Times;serif" w:hAnsi="Times New Roman;Times;serif"/>
          <w:sz w:val="20"/>
        </w:rPr>
        <w:t>stock</w:t>
      </w:r>
      <w:r>
        <w:rPr>
          <w:rFonts w:ascii="Times New Roman;Times;serif" w:hAnsi="Times New Roman;Times;serif"/>
          <w:spacing w:val="-3"/>
          <w:sz w:val="20"/>
        </w:rPr>
        <w:t xml:space="preserve"> </w:t>
      </w:r>
      <w:r>
        <w:rPr>
          <w:rFonts w:ascii="Times New Roman;Times;serif" w:hAnsi="Times New Roman;Times;serif"/>
          <w:sz w:val="20"/>
        </w:rPr>
        <w:t>outstanding</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zero</w:t>
      </w:r>
      <w:r>
        <w:rPr>
          <w:rFonts w:ascii="Times New Roman;Times;serif" w:hAnsi="Times New Roman;Times;serif"/>
          <w:spacing w:val="-3"/>
          <w:sz w:val="20"/>
        </w:rPr>
        <w:t xml:space="preserve"> </w:t>
      </w:r>
      <w:r>
        <w:rPr>
          <w:rFonts w:ascii="Times New Roman;Times;serif" w:hAnsi="Times New Roman;Times;serif"/>
          <w:sz w:val="20"/>
        </w:rPr>
        <w:t>shares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preferred</w:t>
      </w:r>
      <w:r>
        <w:rPr>
          <w:rFonts w:ascii="Times New Roman;Times;serif" w:hAnsi="Times New Roman;Times;serif"/>
          <w:spacing w:val="-3"/>
          <w:sz w:val="20"/>
        </w:rPr>
        <w:t xml:space="preserve"> </w:t>
      </w:r>
      <w:r>
        <w:rPr>
          <w:rFonts w:ascii="Times New Roman;Times;serif" w:hAnsi="Times New Roman;Times;serif"/>
          <w:sz w:val="20"/>
        </w:rPr>
        <w:t xml:space="preserve">stock </w:t>
      </w:r>
      <w:r>
        <w:rPr>
          <w:rFonts w:ascii="Times New Roman;Times;serif" w:hAnsi="Times New Roman;Times;serif"/>
          <w:spacing w:val="-2"/>
          <w:sz w:val="20"/>
        </w:rPr>
        <w:t>outstanding.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 pay dividends if, as and when declared by our Board of Directors, subject to compliance with limitations imposed by law. The holders of our common stock will be entitled to receive and share equally in these dividends as they may be declared by our Board of Directors out of funds legally available for such purpose. If we issue preferred stock, the holders of such preferred stock may have a priority over the holders of the common stock with respect to dividends.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holder of our common stock is entitled to one vote per share and will not have any right to cumulate votes in the election of directors. Directors will be elected by a plurality of the shares actually voting on the matter. If we issue preferred stock, holders of the preferred stock may also possess voting rights.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liquidation, dissolution or winding up of the Company, whether voluntary or involuntary, the holders of our common stock would be entitled to receive, after payment or provision for payment of all its debts and liabilities, all of the assets of the Company available for distribution. If preferred stock is issued, the holders thereof may have a priority over the holders of the common stock in the event of a liquidation or dissolution.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is authorized to fix and determine the relative rights and preferences of the shares of any series of our preferred stock and to provide for the issuance of the preferred stock. The holders of our preferred stock may have preferences over holders of our common stock in the payment of dividends, upon liquidation of the Company, in respect of voting rights and in the redemption of the capital stock of the Company. Series of preferred stock issued by the Company may also, in the discretion of our Board of Directors, be made convertible into our common stock or other securities and may have sinking fund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Certificate of Formation and Bylaws; Anti-Takeover Effects of Texas Law</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Authorized but Unissued Capital Stock</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authorized but unissued shares of preferred stock and common stock, and our board of directors may authorize the issuance of one or more series of preferred stock without shareholder approval.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Board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Board of Directors were increased to nine (9) directors, it may, by resolution, divide into three equal classes. If our Board of Directors effects a board classification, the directors in each class will serve for a three-year term, one class being elected each year by our shareholders. In addition, our Certificate of Formation provides that directors may only be removed for cause by the affirmative vote of the holders of eighty percent (80%) or more of the outstanding shares of common stock of the Company. Additionally, the provisions in our Certificate of Formation concerning the supermajority vote for director removal may not be amended, altered, changed or repealed in any respect unless such action is approved by the affirmative vote of the holders of eighty percent (80%) or more of the outstanding shares of our common stock.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Action by Written Consent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Certificate of Formation permits any action required or permitted to be taken at any annual or special meeting of shareholders to be taken by the written consent of the holders of shares having not less than the minimum number of votes that would be necessary to take such action at a meeting at which the holders of all shares entitled to vote on the action were present and voted.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Requirements for Advance Notification of Shareholder Nominations and Proposals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Bylaws establish advance notice procedures with respect to shareholder proposals and the nomination of candidates for election as directors, other than nominations made by or at the direction of our Board of Directors.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Ability of the Board of Directors to Amend or Repeal the Bylaws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Certificate of Formation vests the power to alter, amend or repeal the Bylaws in our Board of Directors. The Bylaws provide that this power is subject to repeal or change by action of our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Business Combinations under Texas Law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number of provisions of Texas law, our Certificate of Formation and Bylaws could make more difficult the acquisition of the Company by means of a tender offer, a proxy contest or otherwise and the removal of incumbent officers and directors. These provisions are intended to discourage coercive takeover practices and inadequate takeover bids and to encourage persons seeking to acquire control of the Company to negotiate first with our Board of Directors.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subject to the provisions of Title 2, Chapter 21, Subchapter M of the Texas Business Organizations Code (the “Texas Business Combination Law”). That law provides that a Texas corporation may not engage in specified types of business combinations, including mergers, consolidations and asset sales, with a person, or an affiliate or associate of that person, who is an “affiliated shareholder.” An “affiliated shareholder” is generally defined as (i) the holder of 20% or more of the corporation’s voting shares or (ii) a person who, during the preceding three year period, was a holder of 20% or more of the corporation’s voting shares. The law’s prohibitions do not apply if: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or the acquisition of shares by the affiliated shareholder was approved by the board of directors of the corporation before the affiliated shareholder became an affiliated shareholder; or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Because we have a class of voting shares registered under the Exchange Act, we are considered an “issuing public corporation” for purposes of this law. The Texas Business Combination Law does not apply to the following: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of an issuing public corporation: where the corporation’s original charter or bylaws contain a provision expressly electing not to be governed by the Texas Business Combination Law; or that adopts an amendment to its charter or bylaws, by the affirmative vote of the holders, other than affiliated shareholders, of at least two-thirds of the outstanding voting shares of the corporation, expressly electing not to be governed by the Texas Business Combination Law and so long as the amendment does not take effect for 18 months following the date of the vote and does not apply to a business combination with an affiliated shareholder who became affiliated on or before the effective date of the amendment;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business combination of an issuing public corporation with an affiliated shareholder that became an affiliated shareholder inadvertently, if the affiliated shareholder divests itself, as soon as possible, of enough shares to no longer be an affiliated shareholder and would not at any time within the three-year period preceding the announcement of the business combination have been an affiliated shareholder but for the inadvertent acquisition;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business combination with an affiliated shareholder who became an affiliated shareholder through a transfer of shares by will or intestacy and continuously was an affiliated shareholder until the announcement date of the business combination;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business combination of a corporation with its wholly owned Texas subsidiary if the subsidiary is not an affiliate or associate of the affiliated shareholder other than by reason of the affiliated shareholder’s beneficial ownership of voting shares of the corporation.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Neither our Certificate of Formation nor our Bylaws contain any provision expressly providing that we will not be subject to the Texas Business Combination Law. The Texas Business Combination Law may have the effect of inhibiting a non-negotiated merger or other business combination involving the Company, even if that event would be beneficial to our shareholders.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transfer agent and registrar for our common stock is Equiniti Trust Company, LLC (formerly American Stock Transfer &amp; Trust Company, LLC). The transfer agent’s address is 48 Wall Street, Floor 23, New York, New York 10005 and its telephone number is (800) 468-9716.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listed on the Nasdaq Global Select under the symbol "DWSN".</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121" w:name="dwsn-20251231xex21d1.htm"/>
      <w:bookmarkStart w:id="1122" w:name="ksdwsn20251231xex21d1"/>
      <w:bookmarkEnd w:id="1121"/>
      <w:bookmarkEnd w:id="1122"/>
      <w:r>
        <w:rPr>
          <w:rFonts w:ascii="Times New Roman;Times;serif" w:hAnsi="Times New Roman;Times;serif"/>
          <w:b/>
          <w:sz w:val="20"/>
        </w:rPr>
        <w:t>Exhibit 21.1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Dawson Operating LLC, a Texas limited liability company</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Eagle Canada, Inc., a Delaware corporation</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Dawson Seismic Services Holdings, Inc., a Delaware corporation</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Eagle Canada Seismic Services ULC, a Canadian corporation</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Exploration Surveys, Inc., a Texas corporation</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123" w:name="dwsn-20251231xex23d1.htm"/>
      <w:bookmarkStart w:id="1124" w:name="ksdwsn20251231xex23d1"/>
      <w:bookmarkEnd w:id="1123"/>
      <w:bookmarkEnd w:id="1124"/>
      <w:r>
        <w:rPr>
          <w:rFonts w:ascii="Times New Roman;Times;serif" w:hAnsi="Times New Roman;Times;serif"/>
          <w:b/>
          <w:sz w:val="20"/>
        </w:rPr>
        <w:t>Exhibit 23.1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respect to the following Registration Statements of Dawson Geophysical Company:</w:t>
      </w:r>
    </w:p>
    <w:p>
      <w:pPr>
        <w:pStyle w:val="TextBody"/>
        <w:bidi w:val="0"/>
        <w:spacing w:before="0" w:after="0"/>
        <w:ind w:left="0" w:right="0" w:hanging="0"/>
        <w:jc w:val="left"/>
        <w:rPr/>
      </w:pPr>
      <w:r>
        <w:rPr/>
        <w:t>​</w:t>
      </w:r>
    </w:p>
    <w:tbl>
      <w:tblPr>
        <w:tblW w:w="7563" w:type="dxa"/>
        <w:jc w:val="left"/>
        <w:tblInd w:w="0" w:type="dxa"/>
        <w:tblLayout w:type="fixed"/>
        <w:tblCellMar>
          <w:top w:w="0" w:type="dxa"/>
          <w:left w:w="0" w:type="dxa"/>
          <w:bottom w:w="0" w:type="dxa"/>
          <w:right w:w="0" w:type="dxa"/>
        </w:tblCellMar>
      </w:tblPr>
      <w:tblGrid>
        <w:gridCol w:w="23"/>
        <w:gridCol w:w="245"/>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No.333-204643) pertaining to the Legacy Dawson Plan,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333-212577) pertaining to the Dawson Geophysical Company 2016 Stock and Performance Incentive Plan,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333-257475) pertaining to the Amended and Restated Dawson Geophysical Company 2016 Stock and Performance Incentive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consent to the incorporation by reference of our report dated March 31, 2026, relating to the consolidated financial statements of Dawson Geophysical Company, appearing in this Annual Report on Form 10-K of Dawson Geophysical Company for the year ended December 31, 2025. </w:t>
      </w:r>
    </w:p>
    <w:p>
      <w:pPr>
        <w:pStyle w:val="TextBody"/>
        <w:bidi w:val="0"/>
        <w:spacing w:before="0" w:after="0"/>
        <w:ind w:left="0" w:right="0" w:hanging="0"/>
        <w:jc w:val="left"/>
        <w:rPr/>
      </w:pPr>
      <w:r>
        <w:rPr/>
        <w:t>​</w:t>
      </w:r>
    </w:p>
    <w:tbl>
      <w:tblPr>
        <w:tblW w:w="1610" w:type="dxa"/>
        <w:jc w:val="center"/>
        <w:tblInd w:w="0" w:type="dxa"/>
        <w:tblLayout w:type="fixed"/>
        <w:tblCellMar>
          <w:top w:w="0" w:type="dxa"/>
          <w:left w:w="0" w:type="dxa"/>
          <w:bottom w:w="0" w:type="dxa"/>
          <w:right w:w="0" w:type="dxa"/>
        </w:tblCellMar>
      </w:tblPr>
      <w:tblGrid>
        <w:gridCol w:w="1456"/>
        <w:gridCol w:w="154"/>
      </w:tblGrid>
      <w:tr>
        <w:trPr/>
        <w:tc>
          <w:tcPr>
            <w:tcW w:w="145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/s/RSM US, LLP</w:t>
            </w:r>
          </w:p>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45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RSM US LLP</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0"/>
        <w:ind w:left="0" w:right="0" w:hanging="0"/>
        <w:jc w:val="both"/>
        <w:rPr>
          <w:rFonts w:ascii="Times New Roman;Times;serif" w:hAnsi="Times New Roman;Times;serif"/>
          <w:sz w:val="20"/>
        </w:rPr>
      </w:pPr>
      <w:r>
        <w:rPr>
          <w:rFonts w:ascii="Times New Roman;Times;serif" w:hAnsi="Times New Roman;Times;serif"/>
          <w:sz w:val="20"/>
        </w:rPr>
        <w:t>Houston, Texas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March 31, 2026</w:t>
      </w:r>
    </w:p>
    <w:p>
      <w:pPr>
        <w:pStyle w:val="HorizontalLine"/>
        <w:pBdr>
          <w:bottom w:val="double" w:sz="2" w:space="0" w:color="808080"/>
        </w:pBdr>
        <w:bidi w:val="0"/>
        <w:spacing w:before="0" w:after="283"/>
        <w:jc w:val="left"/>
        <w:rPr/>
      </w:pPr>
      <w:r>
        <w:rPr/>
      </w:r>
    </w:p>
    <w:p>
      <w:pPr>
        <w:pStyle w:val="TextBody"/>
        <w:bidi w:val="0"/>
        <w:spacing w:lineRule="atLeast" w:line="220" w:before="0" w:after="240"/>
        <w:ind w:left="0" w:right="0" w:hanging="0"/>
        <w:jc w:val="right"/>
        <w:rPr>
          <w:rFonts w:ascii="Times New Roman;Times;serif" w:hAnsi="Times New Roman;Times;serif"/>
          <w:b/>
          <w:sz w:val="20"/>
        </w:rPr>
      </w:pPr>
      <w:bookmarkStart w:id="1125" w:name="dwsn-20251231xex31d1.htm"/>
      <w:bookmarkStart w:id="1126" w:name="ksdwsn20251231xex31d1"/>
      <w:bookmarkEnd w:id="1125"/>
      <w:bookmarkEnd w:id="1126"/>
      <w:r>
        <w:rPr>
          <w:rFonts w:ascii="Times New Roman;Times;serif" w:hAnsi="Times New Roman;Times;serif"/>
          <w:b/>
          <w:sz w:val="20"/>
        </w:rPr>
        <w:t>Exhibit 31.1</w:t>
      </w:r>
      <w:r>
        <w:br w:type="page"/>
      </w:r>
    </w:p>
    <w:p>
      <w:pPr>
        <w:pStyle w:val="TextBody"/>
        <w:bidi w:val="0"/>
        <w:spacing w:lineRule="atLeast" w:line="220"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tLeast" w:line="220" w:before="0" w:after="240"/>
        <w:ind w:left="0" w:right="0" w:hanging="0"/>
        <w:jc w:val="both"/>
        <w:rPr>
          <w:rFonts w:ascii="Times New Roman;Times;serif" w:hAnsi="Times New Roman;Times;serif"/>
          <w:sz w:val="20"/>
        </w:rPr>
      </w:pPr>
      <w:r>
        <w:rPr>
          <w:rFonts w:ascii="Times New Roman;Times;serif" w:hAnsi="Times New Roman;Times;serif"/>
          <w:sz w:val="20"/>
        </w:rPr>
        <w:t>I, William A. Clark, certify that:</w:t>
      </w:r>
    </w:p>
    <w:tbl>
      <w:tblPr>
        <w:tblW w:w="6970" w:type="dxa"/>
        <w:jc w:val="left"/>
        <w:tblInd w:w="0" w:type="dxa"/>
        <w:tblLayout w:type="fixed"/>
        <w:tblCellMar>
          <w:top w:w="0" w:type="dxa"/>
          <w:left w:w="0" w:type="dxa"/>
          <w:bottom w:w="0" w:type="dxa"/>
          <w:right w:w="0" w:type="dxa"/>
        </w:tblCellMar>
      </w:tblPr>
      <w:tblGrid>
        <w:gridCol w:w="170"/>
        <w:gridCol w:w="680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Dawson Geophysical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40"/>
        <w:ind w:left="0" w:right="0" w:hanging="0"/>
        <w:jc w:val="both"/>
        <w:rPr>
          <w:rFonts w:ascii="Times New Roman;Times;serif" w:hAnsi="Times New Roman;Times;serif"/>
          <w:sz w:val="20"/>
        </w:rPr>
      </w:pPr>
      <w:r>
        <w:rPr>
          <w:rFonts w:ascii="Times New Roman;Times;serif" w:hAnsi="Times New Roman;Times;serif"/>
          <w:sz w:val="20"/>
        </w:rPr>
        <w:t>Dated: March 31, 2026</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58035" cy="175260"/>
                      <wp:effectExtent l="0" t="0" r="0" b="0"/>
                      <wp:wrapNone/>
                      <wp:docPr id="313" name="Frame313"/>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A. Clark</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right"/>
        <w:rPr>
          <w:rFonts w:ascii="Times New Roman;Times;serif" w:hAnsi="Times New Roman;Times;serif"/>
          <w:b/>
          <w:sz w:val="20"/>
        </w:rPr>
      </w:pPr>
      <w:bookmarkStart w:id="1127" w:name="dwsn-20251231xex31d2.htm"/>
      <w:bookmarkStart w:id="1128" w:name="ksdwsn20251231xex31d2"/>
      <w:bookmarkEnd w:id="1127"/>
      <w:bookmarkEnd w:id="1128"/>
      <w:r>
        <w:rPr>
          <w:rFonts w:ascii="Times New Roman;Times;serif" w:hAnsi="Times New Roman;Times;serif"/>
          <w:b/>
          <w:sz w:val="20"/>
        </w:rPr>
        <w:t>Exhibit 31.2</w:t>
      </w:r>
      <w:r>
        <w:br w:type="page"/>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 Ian Shaw, certify that:</w:t>
      </w:r>
    </w:p>
    <w:tbl>
      <w:tblPr>
        <w:tblW w:w="6970" w:type="dxa"/>
        <w:jc w:val="left"/>
        <w:tblInd w:w="0" w:type="dxa"/>
        <w:tblLayout w:type="fixed"/>
        <w:tblCellMar>
          <w:top w:w="0" w:type="dxa"/>
          <w:left w:w="0" w:type="dxa"/>
          <w:bottom w:w="0" w:type="dxa"/>
          <w:right w:w="0" w:type="dxa"/>
        </w:tblCellMar>
      </w:tblPr>
      <w:tblGrid>
        <w:gridCol w:w="170"/>
        <w:gridCol w:w="680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Dawson Geophysical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Dated: March 31, 2026</w:t>
      </w:r>
    </w:p>
    <w:tbl>
      <w:tblPr>
        <w:tblW w:w="3995" w:type="dxa"/>
        <w:jc w:val="center"/>
        <w:tblInd w:w="0" w:type="dxa"/>
        <w:tblLayout w:type="fixed"/>
        <w:tblCellMar>
          <w:top w:w="0" w:type="dxa"/>
          <w:left w:w="0" w:type="dxa"/>
          <w:bottom w:w="0" w:type="dxa"/>
          <w:right w:w="0" w:type="dxa"/>
        </w:tblCellMar>
      </w:tblPr>
      <w:tblGrid>
        <w:gridCol w:w="124"/>
        <w:gridCol w:w="3871"/>
      </w:tblGrid>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Ian Shaw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129" w:name="dwsn-20251231xex32d1.htm"/>
      <w:bookmarkStart w:id="1130" w:name="ksdwsn20251231xex32d1"/>
      <w:bookmarkEnd w:id="1129"/>
      <w:bookmarkEnd w:id="1130"/>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Dawson Geophysical Company (the “Company”) on Form 10-K for the fiscal year ended December 31, 2025, as filed with the Securities and Exchange Commission (the “Report”), I, William A. Clark, President and Chief Executive Officer of the Company,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Dated: March 31, 2026</w:t>
      </w:r>
    </w:p>
    <w:tbl>
      <w:tblPr>
        <w:tblW w:w="3365" w:type="dxa"/>
        <w:jc w:val="center"/>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A. Clark</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131" w:name="dwsn-20251231xex32d2.htm"/>
      <w:bookmarkStart w:id="1132" w:name="ksdwsn20251231xex32d2"/>
      <w:bookmarkEnd w:id="1131"/>
      <w:bookmarkEnd w:id="1132"/>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Dawson Geophysical Company (the “Company”) on Form 10-K for the fiscal year ended December 31, 2025, as filed with the Securities and Exchange Commission (the “Report”), I, Ian Shaw, Chief Financial Officer of the Company,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Dated: March 31, 2026</w:t>
      </w:r>
    </w:p>
    <w:tbl>
      <w:tblPr>
        <w:tblW w:w="3995" w:type="dxa"/>
        <w:jc w:val="left"/>
        <w:tblInd w:w="0" w:type="dxa"/>
        <w:tblLayout w:type="fixed"/>
        <w:tblCellMar>
          <w:top w:w="0" w:type="dxa"/>
          <w:left w:w="0" w:type="dxa"/>
          <w:bottom w:w="0" w:type="dxa"/>
          <w:right w:w="0" w:type="dxa"/>
        </w:tblCellMar>
      </w:tblPr>
      <w:tblGrid>
        <w:gridCol w:w="124"/>
        <w:gridCol w:w="3871"/>
      </w:tblGrid>
      <w:tr>
        <w:trPr/>
        <w:tc>
          <w:tcPr>
            <w:tcW w:w="124" w:type="dxa"/>
            <w:tcBorders/>
            <w:vAlign w:val="center"/>
          </w:tcPr>
          <w:p>
            <w:pPr>
              <w:pStyle w:val="TableContents"/>
              <w:bidi w:val="0"/>
              <w:spacing w:lineRule="auto" w:line="285" w:before="0" w:after="0"/>
              <w:ind w:left="0" w:right="0" w:hanging="0"/>
              <w:jc w:val="left"/>
              <w:rPr/>
            </w:pPr>
            <w:r>
              <w:rPr/>
              <w:t>​</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Ian Shaw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ourier New">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799165/000110465921129180/tm2130885d1_ex2-1.htm" TargetMode="External"/><Relationship Id="rId3" Type="http://schemas.openxmlformats.org/officeDocument/2006/relationships/hyperlink" Target="https://www.sec.gov/Archives/edgar/data/0000799165/000110465921151148/tm2135573d1_ex2-1.htm" TargetMode="External"/><Relationship Id="rId4" Type="http://schemas.openxmlformats.org/officeDocument/2006/relationships/hyperlink" Target="https://www.sec.gov/Archives/edgar/data/0000799165/000110465922001476/tm221654d1_ex2-1.htm" TargetMode="External"/><Relationship Id="rId5" Type="http://schemas.openxmlformats.org/officeDocument/2006/relationships/hyperlink" Target="https://www.sec.gov/Archives/edgar/data/0000799165/000110465922002734/tm222433d1_ex2-1.htm" TargetMode="External"/><Relationship Id="rId6" Type="http://schemas.openxmlformats.org/officeDocument/2006/relationships/hyperlink" Target="https://www.sec.gov/Archives/edgar/data/0000799165/000110465923036243/tm2310216d1_ex2-1.htm" TargetMode="External"/><Relationship Id="rId7" Type="http://schemas.openxmlformats.org/officeDocument/2006/relationships/hyperlink" Target="http://www.sec.gov/Archives/edgar/data/799165/000110465915020069/a15-5087_1ex3d1.htm" TargetMode="External"/><Relationship Id="rId8" Type="http://schemas.openxmlformats.org/officeDocument/2006/relationships/hyperlink" Target="https://www.sec.gov/Archives/edgar/data/799165/000110465915020069/a15-5087_1ex3d1.htm" TargetMode="External"/><Relationship Id="rId9" Type="http://schemas.openxmlformats.org/officeDocument/2006/relationships/hyperlink" Target="https://www.sec.gov/Archives/edgar/data/0000799165/000110465923122834/tm2331966d1_ex3-1.htm" TargetMode="External"/><Relationship Id="rId10" Type="http://schemas.openxmlformats.org/officeDocument/2006/relationships/hyperlink" Target="https://www.sec.gov/Archives/edgar/data/0000799165/000110465923122834/tm2331966d1_ex3-2.htm" TargetMode="External"/><Relationship Id="rId11" Type="http://schemas.openxmlformats.org/officeDocument/2006/relationships/hyperlink" Target="https://www.sec.gov/Archives/edgar/data/0000799165/000110465921048154/tm2112467d1_ex3-1.htm" TargetMode="External"/><Relationship Id="rId12" Type="http://schemas.openxmlformats.org/officeDocument/2006/relationships/hyperlink" Target="http://www.sec.gov/Archives/edgar/data/799165/000110465915008902/a15-4273_1ex4d1.htm" TargetMode="External"/><Relationship Id="rId13" Type="http://schemas.openxmlformats.org/officeDocument/2006/relationships/hyperlink" Target="http://www.sec.gov/Archives/edgar/data/799165/000110465915008902/a15-4273_1ex4d1.htm" TargetMode="External"/><Relationship Id="rId14" Type="http://schemas.openxmlformats.org/officeDocument/2006/relationships/hyperlink" Target="http://www.sec.gov/Archives/edgar/data/799165/000110465915008902/a15-4273_1ex4d1.htm" TargetMode="External"/><Relationship Id="rId15" Type="http://schemas.openxmlformats.org/officeDocument/2006/relationships/hyperlink" Target="https://www.sec.gov/Archives/edgar/data/0000799165/000110465921048154/tm2112467d1_ex4-1.htm" TargetMode="External"/><Relationship Id="rId16" Type="http://schemas.openxmlformats.org/officeDocument/2006/relationships/hyperlink" Target="https://www.sec.gov/Archives/edgar/data/0000799165/000110465921048154/tm2112467d1_ex4-1.htm" TargetMode="External"/><Relationship Id="rId17" Type="http://schemas.openxmlformats.org/officeDocument/2006/relationships/hyperlink" Target="https://www.sec.gov/Archives/edgar/data/0000799165/000110465921048154/tm2112467d1_ex4-1.htm" TargetMode="External"/><Relationship Id="rId18" Type="http://schemas.openxmlformats.org/officeDocument/2006/relationships/hyperlink" Target="https://www.sec.gov/Archives/edgar/data/0000799165/000110465921129180/tm2130885d1_ex4-1.htm" TargetMode="External"/><Relationship Id="rId19" Type="http://schemas.openxmlformats.org/officeDocument/2006/relationships/hyperlink" Target="http://www.sec.gov/Archives/edgar/data/799165/000110465913001243/a13-2314_1ex10d1.htm" TargetMode="External"/><Relationship Id="rId20" Type="http://schemas.openxmlformats.org/officeDocument/2006/relationships/hyperlink" Target="http://www.sec.gov/Archives/edgar/data/799165/000110465913001243/a13-2314_1ex10d2.htm" TargetMode="External"/><Relationship Id="rId21" Type="http://schemas.openxmlformats.org/officeDocument/2006/relationships/hyperlink" Target="http://www.sec.gov/Archives/edgar/data/799165/000110465914071090/a14-22149_1ex10d1.htm" TargetMode="External"/><Relationship Id="rId22" Type="http://schemas.openxmlformats.org/officeDocument/2006/relationships/hyperlink" Target="http://www.sec.gov/Archives/edgar/data/351231/000119312512491992/d413587dex1010.htm" TargetMode="External"/><Relationship Id="rId23" Type="http://schemas.openxmlformats.org/officeDocument/2006/relationships/hyperlink" Target="http://www.sec.gov/Archives/edgar/data/351231/000119312512491992/d413587dex1011.htm" TargetMode="External"/><Relationship Id="rId24" Type="http://schemas.openxmlformats.org/officeDocument/2006/relationships/hyperlink" Target="http://www.sec.gov/Archives/edgar/data/799165/000104746916012919/a2228573zex-10_2.htm" TargetMode="External"/><Relationship Id="rId25" Type="http://schemas.openxmlformats.org/officeDocument/2006/relationships/hyperlink" Target="https://www.sec.gov/Archives/edgar/data/0000799165/000155837021007228/dwsn-20210331xex10d1.htm" TargetMode="External"/><Relationship Id="rId26" Type="http://schemas.openxmlformats.org/officeDocument/2006/relationships/hyperlink" Target="https://www.sec.gov/Archives/edgar/data/0000799165/000110465923122824/tm2331890d1_ex10-1.htm" TargetMode="External"/><Relationship Id="rId27" Type="http://schemas.openxmlformats.org/officeDocument/2006/relationships/hyperlink" Target="https://www.sec.gov/Archives/edgar/data/0000799165/000110465923122824/tm2331890d1_ex10-2.htm" TargetMode="External"/><Relationship Id="rId28" Type="http://schemas.openxmlformats.org/officeDocument/2006/relationships/hyperlink" Target="https://www.sec.gov/Archives/edgar/data/0000799165/000110465923122824/tm2331890d1_ex10-3.htm" TargetMode="External"/><Relationship Id="rId29" Type="http://schemas.openxmlformats.org/officeDocument/2006/relationships/hyperlink" Target="https://www.sec.gov/Archives/edgar/data/0000799165/000110465923127729/tm2333326d1_ex10-1.htm" TargetMode="External"/><Relationship Id="rId30" Type="http://schemas.openxmlformats.org/officeDocument/2006/relationships/hyperlink" Target="https://www.sec.gov/Archives/edgar/data/0000799165/000110465923127729/tm2333326d1_ex10-2.htm" TargetMode="External"/><Relationship Id="rId31" Type="http://schemas.openxmlformats.org/officeDocument/2006/relationships/hyperlink" Target="https://www.sec.gov/Archives/edgar/data/0000799165/000110465923127729/tm2333326d1_ex10-3.htm" TargetMode="External"/><Relationship Id="rId32" Type="http://schemas.openxmlformats.org/officeDocument/2006/relationships/hyperlink" Target="https://www.sec.gov/Archives/edgar/data/799165/000155837025011393/dwsn-20250630xex10d1.htm" TargetMode="External"/><Relationship Id="rId33" Type="http://schemas.openxmlformats.org/officeDocument/2006/relationships/hyperlink" Target="https://www.sec.gov/Archives/edgar/data/799165/000155837025011393/dwsn-20250630xex10d2.htm" TargetMode="External"/><Relationship Id="rId34" Type="http://schemas.openxmlformats.org/officeDocument/2006/relationships/hyperlink" Target="https://www.sec.gov/Archives/edgar/data/799165/000155837025011393/dwsn-20250630xex10d3.htm" TargetMode="External"/><Relationship Id="rId35" Type="http://schemas.openxmlformats.org/officeDocument/2006/relationships/hyperlink" Target="https://www.sec.gov/Archives/edgar/data/799165/000110465925107773/dwsn-20251031xex10d1.htm" TargetMode="External"/><Relationship Id="rId36" Type="http://schemas.openxmlformats.org/officeDocument/2006/relationships/hyperlink" Target="https://www.sec.gov/Archives/edgar/data/799165/000110465925107773/dwsn-20251031xex10d2.htm" TargetMode="External"/><Relationship Id="rId37" Type="http://schemas.openxmlformats.org/officeDocument/2006/relationships/hyperlink" Target="https://www.sec.gov/Archives/edgar/data/799165/000155837025004330/dwsn-20241231xex19d1.htm" TargetMode="External"/><Relationship Id="rId38" Type="http://schemas.openxmlformats.org/officeDocument/2006/relationships/hyperlink" Target="https://www.sec.gov/Archives/edgar/data/799165/000155837025004330/dwsn-20241231xex97d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35368</Words>
  <Characters>195890</Characters>
  <CharactersWithSpaces>232957</CharactersWithSpaces>
  <Paragraphs>6106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