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600"/>
        <w:ind w:left="0" w:right="0" w:hanging="0"/>
        <w:jc w:val="left"/>
        <w:rPr/>
      </w:pPr>
      <w:hyperlink w:anchor="TOC">
        <w:bookmarkStart w:id="0" w:name="dwsn-20260331x10q.htm"/>
        <w:bookmarkStart w:id="1" w:name="ksdwsn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lineRule="auto" w:line="285" w:before="0" w:after="0"/>
        <w:ind w:left="0" w:right="0" w:hanging="0"/>
        <w:jc w:val="center"/>
        <w:rPr>
          <w:bdr w:val="single" w:sz="24" w:space="1" w:color="000000"/>
        </w:rPr>
      </w:pPr>
      <w:r>
        <w:rPr>
          <w:bdr w:val="single" w:sz="24" w:space="1" w:color="000000"/>
        </w:rPr>
        <w:t>​</w:t>
      </w:r>
    </w:p>
    <w:p>
      <w:pPr>
        <w:pStyle w:val="TextBody"/>
        <w:bidi w:val="0"/>
        <w:spacing w:lineRule="auto" w:line="285" w:before="0" w:after="0"/>
        <w:ind w:left="0" w:right="0" w:hanging="0"/>
        <w:jc w:val="center"/>
        <w:rPr>
          <w:rFonts w:ascii="Times New Roman;Times;serif" w:hAnsi="Times New Roman;Times;serif"/>
          <w:b/>
          <w:sz w:val="34"/>
        </w:rPr>
      </w:pPr>
      <w:bookmarkStart w:id="2" w:name="_33681e17_6d73_4a73_afb6_0d02d3977305"/>
      <w:bookmarkEnd w:id="2"/>
      <w:r>
        <w:rPr>
          <w:rFonts w:ascii="Times New Roman;Times;serif" w:hAnsi="Times New Roman;Times;serif"/>
          <w:b/>
          <w:sz w:val="34"/>
        </w:rPr>
        <w:t>UNITED STATES</w:t>
      </w:r>
    </w:p>
    <w:p>
      <w:pPr>
        <w:pStyle w:val="TextBody"/>
        <w:bidi w:val="0"/>
        <w:spacing w:lineRule="auto" w:line="285"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5" w:before="0" w:after="0"/>
              <w:jc w:val="both"/>
              <w:rPr/>
            </w:pPr>
            <w:r>
              <w:rPr/>
              <w:t>☒</w:t>
            </w:r>
          </w:p>
        </w:tc>
        <w:tc>
          <w:tcPr>
            <w:tcW w:w="9874" w:type="dxa"/>
            <w:tcBorders/>
            <w:vAlign w:val="center"/>
          </w:tcPr>
          <w:p>
            <w:pPr>
              <w:pStyle w:val="TableContents"/>
              <w:bidi w:val="0"/>
              <w:spacing w:lineRule="auto" w:line="285" w:before="0" w:after="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8"/>
        </w:rPr>
        <w:t>For the Quarterly Period Ended March 31, 2026</w:t>
      </w:r>
      <w:r>
        <w:rPr>
          <w:rFonts w:ascii="Times New Roman;Times;serif" w:hAnsi="Times New Roman;Times;serif"/>
          <w:sz w:val="20"/>
        </w:rPr>
        <w:t xml:space="preserve"> </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5" w:before="0" w:after="0"/>
              <w:jc w:val="both"/>
              <w:rPr/>
            </w:pPr>
            <w:r>
              <w:rPr/>
              <w:t>☐</w:t>
            </w:r>
          </w:p>
        </w:tc>
        <w:tc>
          <w:tcPr>
            <w:tcW w:w="9874" w:type="dxa"/>
            <w:tcBorders/>
            <w:vAlign w:val="center"/>
          </w:tcPr>
          <w:p>
            <w:pPr>
              <w:pStyle w:val="TableContents"/>
              <w:bidi w:val="0"/>
              <w:spacing w:lineRule="auto" w:line="285" w:before="0" w:after="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No. 001-32472</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4"/>
        </w:rPr>
      </w:pPr>
      <w:r>
        <w:rPr>
          <w:rFonts w:ascii="Times New Roman;Times;serif" w:hAnsi="Times New Roman;Times;serif"/>
          <w:b/>
          <w:sz w:val="34"/>
        </w:rPr>
        <w:t>DAWSON GEOPHYSICAL COMPANY</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9D-B-3sh0yBOYxW-39MAw_3_2"/>
      <w:bookmarkStart w:id="4" w:name="Tc_PRdUx-AehkGaLHbJhN1HtQ_3_0"/>
      <w:bookmarkStart w:id="5" w:name="Tc_0Zyd3fB0wEeRHqoZfwtb_Q_2_2"/>
      <w:bookmarkStart w:id="6" w:name="Tc_tHWfGC0WskOYWU3TnLk0uw_2_0"/>
      <w:bookmarkStart w:id="7" w:name="_098a7780_18d2_4226_ac6e_359fbf6333d1"/>
      <w:bookmarkStart w:id="8" w:name="Tc_-9D-B-3sh0yBOYxW-39MAw_3_2"/>
      <w:bookmarkStart w:id="9" w:name="Tc_PRdUx-AehkGaLHbJhN1HtQ_3_0"/>
      <w:bookmarkStart w:id="10" w:name="Tc_0Zyd3fB0wEeRHqoZfwtb_Q_2_2"/>
      <w:bookmarkStart w:id="11" w:name="Tc_tHWfGC0WskOYWU3TnLk0uw_2_0"/>
      <w:bookmarkStart w:id="12" w:name="_098a7780_18d2_4226_ac6e_359fbf6333d1"/>
      <w:bookmarkEnd w:id="8"/>
      <w:bookmarkEnd w:id="9"/>
      <w:bookmarkEnd w:id="10"/>
      <w:bookmarkEnd w:id="11"/>
      <w:bookmarkEnd w:id="12"/>
    </w:p>
    <w:tbl>
      <w:tblPr>
        <w:tblW w:w="4038" w:type="dxa"/>
        <w:jc w:val="left"/>
        <w:tblInd w:w="0" w:type="dxa"/>
        <w:tblLayout w:type="fixed"/>
        <w:tblCellMar>
          <w:top w:w="0" w:type="dxa"/>
          <w:left w:w="0" w:type="dxa"/>
          <w:bottom w:w="0" w:type="dxa"/>
          <w:right w:w="0" w:type="dxa"/>
        </w:tblCellMar>
      </w:tblPr>
      <w:tblGrid>
        <w:gridCol w:w="2236"/>
        <w:gridCol w:w="346"/>
        <w:gridCol w:w="1456"/>
      </w:tblGrid>
      <w:tr>
        <w:trPr/>
        <w:tc>
          <w:tcPr>
            <w:tcW w:w="22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lineRule="auto" w:line="285" w:before="0" w:after="0"/>
              <w:ind w:left="0" w:right="0" w:hanging="0"/>
              <w:jc w:val="left"/>
              <w:rPr/>
            </w:pPr>
            <w:r>
              <w:rPr/>
              <w:t>​</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Texas</w:t>
            </w:r>
          </w:p>
        </w:tc>
        <w:tc>
          <w:tcPr>
            <w:tcW w:w="346" w:type="dxa"/>
            <w:tcBorders/>
            <w:vAlign w:val="center"/>
          </w:tcPr>
          <w:p>
            <w:pPr>
              <w:pStyle w:val="TableContents"/>
              <w:bidi w:val="0"/>
              <w:spacing w:lineRule="auto" w:line="285" w:before="0" w:after="0"/>
              <w:ind w:left="0" w:right="0" w:hanging="0"/>
              <w:jc w:val="left"/>
              <w:rPr/>
            </w:pPr>
            <w:r>
              <w:rPr/>
              <w:t>  ​ ​ ​</w:t>
            </w:r>
          </w:p>
        </w:tc>
        <w:tc>
          <w:tcPr>
            <w:tcW w:w="145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74-2095844</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r>
          </w:p>
        </w:tc>
        <w:tc>
          <w:tcPr>
            <w:tcW w:w="346" w:type="dxa"/>
            <w:tcBorders/>
            <w:vAlign w:val="center"/>
          </w:tcPr>
          <w:p>
            <w:pPr>
              <w:pStyle w:val="TableContents"/>
              <w:bidi w:val="0"/>
              <w:spacing w:lineRule="auto" w:line="285" w:before="0" w:after="0"/>
              <w:ind w:left="0" w:right="0" w:hanging="0"/>
              <w:jc w:val="left"/>
              <w:rPr/>
            </w:pPr>
            <w:r>
              <w:rPr/>
              <w:t>​</w:t>
            </w:r>
          </w:p>
        </w:tc>
        <w:tc>
          <w:tcPr>
            <w:tcW w:w="145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46" w:type="dxa"/>
            <w:tcBorders/>
            <w:vAlign w:val="center"/>
          </w:tcPr>
          <w:p>
            <w:pPr>
              <w:pStyle w:val="TableContents"/>
              <w:bidi w:val="0"/>
              <w:spacing w:lineRule="auto" w:line="285" w:before="0" w:after="0"/>
              <w:ind w:left="0" w:right="0" w:hanging="0"/>
              <w:jc w:val="left"/>
              <w:rPr/>
            </w:pPr>
            <w:r>
              <w:rPr/>
              <w:t>​</w:t>
            </w:r>
          </w:p>
        </w:tc>
        <w:tc>
          <w:tcPr>
            <w:tcW w:w="145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lineRule="auto" w:line="285" w:before="0" w:after="0"/>
        <w:ind w:left="0" w:right="0" w:hanging="0"/>
        <w:jc w:val="left"/>
        <w:rPr/>
      </w:pPr>
      <w:r>
        <w:rPr/>
        <w:t>​</w:t>
      </w:r>
    </w:p>
    <w:p>
      <w:pPr>
        <w:pStyle w:val="TextBody"/>
        <w:bidi w:val="0"/>
        <w:spacing w:lineRule="auto" w:line="285" w:before="0" w:after="80"/>
        <w:ind w:left="0" w:right="0" w:hanging="0"/>
        <w:jc w:val="center"/>
        <w:rPr>
          <w:rFonts w:ascii="Times New Roman;Times;serif" w:hAnsi="Times New Roman;Times;serif"/>
          <w:sz w:val="20"/>
        </w:rPr>
      </w:pPr>
      <w:r>
        <w:rPr>
          <w:rFonts w:ascii="Times New Roman;Times;serif" w:hAnsi="Times New Roman;Times;serif"/>
          <w:b/>
          <w:sz w:val="18"/>
        </w:rPr>
        <w:t>508 West Wall, Suite 800, Midland, Texas</w:t>
      </w:r>
      <w:r>
        <w:rPr>
          <w:rFonts w:ascii="Times New Roman;Times;serif" w:hAnsi="Times New Roman;Times;serif"/>
          <w:sz w:val="20"/>
        </w:rPr>
        <w:t xml:space="preserve"> </w:t>
      </w:r>
      <w:r>
        <w:rPr>
          <w:rFonts w:ascii="Times New Roman;Times;serif" w:hAnsi="Times New Roman;Times;serif"/>
          <w:b/>
          <w:sz w:val="18"/>
        </w:rPr>
        <w:t>79701</w:t>
      </w:r>
    </w:p>
    <w:p>
      <w:pPr>
        <w:pStyle w:val="TextBody"/>
        <w:bidi w:val="0"/>
        <w:spacing w:lineRule="auto" w:line="285" w:before="0" w:after="8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w:t>
      </w:r>
      <w:r>
        <w:rPr>
          <w:rFonts w:ascii="Times New Roman;Times;serif" w:hAnsi="Times New Roman;Times;serif"/>
          <w:b/>
          <w:sz w:val="18"/>
        </w:rPr>
        <w:t>)</w:t>
      </w:r>
      <w:r>
        <w:rPr>
          <w:rFonts w:ascii="Times New Roman;Times;serif" w:hAnsi="Times New Roman;Times;serif"/>
          <w:sz w:val="18"/>
        </w:rPr>
        <w:t xml:space="preserve"> (Zip Code)</w:t>
      </w:r>
    </w:p>
    <w:p>
      <w:pPr>
        <w:pStyle w:val="TextBody"/>
        <w:bidi w:val="0"/>
        <w:spacing w:lineRule="auto" w:line="285" w:before="0" w:after="80"/>
        <w:ind w:left="0" w:right="0" w:hanging="0"/>
        <w:jc w:val="center"/>
        <w:rPr>
          <w:rFonts w:ascii="Times New Roman;Times;serif" w:hAnsi="Times New Roman;Times;serif"/>
          <w:sz w:val="20"/>
        </w:rPr>
      </w:pPr>
      <w:r>
        <w:rPr>
          <w:rFonts w:ascii="Times New Roman;Times;serif" w:hAnsi="Times New Roman;Times;serif"/>
          <w:sz w:val="18"/>
        </w:rPr>
        <w:t>Registrant’s Telephone Number</w:t>
      </w:r>
      <w:r>
        <w:rPr>
          <w:rFonts w:ascii="Times New Roman;Times;serif" w:hAnsi="Times New Roman;Times;serif"/>
          <w:b/>
          <w:sz w:val="18"/>
        </w:rPr>
        <w:t>,</w:t>
      </w:r>
      <w:r>
        <w:rPr>
          <w:rFonts w:ascii="Times New Roman;Times;serif" w:hAnsi="Times New Roman;Times;serif"/>
          <w:sz w:val="20"/>
        </w:rPr>
        <w:t xml:space="preserve"> </w:t>
      </w:r>
      <w:r>
        <w:rPr>
          <w:rFonts w:ascii="Times New Roman;Times;serif" w:hAnsi="Times New Roman;Times;serif"/>
          <w:sz w:val="18"/>
        </w:rPr>
        <w:t xml:space="preserve">Including Area Code: </w:t>
      </w:r>
      <w:r>
        <w:rPr>
          <w:rFonts w:ascii="Times New Roman;Times;serif" w:hAnsi="Times New Roman;Times;serif"/>
          <w:b/>
          <w:sz w:val="18"/>
        </w:rPr>
        <w:t>432-684-3000</w:t>
      </w:r>
    </w:p>
    <w:p>
      <w:pPr>
        <w:pStyle w:val="TextBody"/>
        <w:bidi w:val="0"/>
        <w:spacing w:lineRule="auto" w:line="285" w:before="0" w:after="4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3" w:name="Tc_JYRdWg-XEEqqnmYIdjTOWQ_2_1"/>
      <w:bookmarkStart w:id="14" w:name="Tc_shLM0mL2TUaQLlMda5TdBA_1_2"/>
      <w:bookmarkStart w:id="15" w:name="Tc_Ll3-ENgLNk28owFNWIRKlg_1_1"/>
      <w:bookmarkStart w:id="16" w:name="Tc_mvPdbdxli0qjaCdC4WBfMA_1_0"/>
      <w:bookmarkStart w:id="17" w:name="_a42ac372_c876_4e68_b506_22425353f1c1"/>
      <w:bookmarkStart w:id="18" w:name="Tc_JYRdWg-XEEqqnmYIdjTOWQ_2_1"/>
      <w:bookmarkStart w:id="19" w:name="Tc_shLM0mL2TUaQLlMda5TdBA_1_2"/>
      <w:bookmarkStart w:id="20" w:name="Tc_Ll3-ENgLNk28owFNWIRKlg_1_1"/>
      <w:bookmarkStart w:id="21" w:name="Tc_mvPdbdxli0qjaCdC4WBfMA_1_0"/>
      <w:bookmarkStart w:id="22" w:name="_a42ac372_c876_4e68_b506_22425353f1c1"/>
      <w:bookmarkEnd w:id="18"/>
      <w:bookmarkEnd w:id="19"/>
      <w:bookmarkEnd w:id="20"/>
      <w:bookmarkEnd w:id="21"/>
      <w:bookmarkEnd w:id="22"/>
    </w:p>
    <w:tbl>
      <w:tblPr>
        <w:tblW w:w="7188" w:type="dxa"/>
        <w:jc w:val="left"/>
        <w:tblInd w:w="0" w:type="dxa"/>
        <w:tblLayout w:type="fixed"/>
        <w:tblCellMar>
          <w:top w:w="0" w:type="dxa"/>
          <w:left w:w="0" w:type="dxa"/>
          <w:bottom w:w="0" w:type="dxa"/>
          <w:right w:w="0" w:type="dxa"/>
        </w:tblCellMar>
      </w:tblPr>
      <w:tblGrid>
        <w:gridCol w:w="2581"/>
        <w:gridCol w:w="3196"/>
        <w:gridCol w:w="1411"/>
      </w:tblGrid>
      <w:tr>
        <w:trPr/>
        <w:tc>
          <w:tcPr>
            <w:tcW w:w="2581" w:type="dxa"/>
            <w:tcBorders/>
            <w:vAlign w:val="center"/>
          </w:tcPr>
          <w:p>
            <w:pPr>
              <w:pStyle w:val="TableContents"/>
              <w:bidi w:val="0"/>
              <w:spacing w:lineRule="auto" w:line="285" w:before="0" w:after="0"/>
              <w:ind w:left="0" w:right="0" w:hanging="0"/>
              <w:jc w:val="left"/>
              <w:rPr/>
            </w:pPr>
            <w:r>
              <w:rPr/>
              <w:t>​</w:t>
            </w:r>
          </w:p>
        </w:tc>
        <w:tc>
          <w:tcPr>
            <w:tcW w:w="3196" w:type="dxa"/>
            <w:tcBorders/>
            <w:vAlign w:val="center"/>
          </w:tcPr>
          <w:p>
            <w:pPr>
              <w:pStyle w:val="TableContents"/>
              <w:bidi w:val="0"/>
              <w:spacing w:lineRule="auto" w:line="285" w:before="0" w:after="0"/>
              <w:ind w:left="0" w:right="0" w:hanging="0"/>
              <w:jc w:val="left"/>
              <w:rPr/>
            </w:pPr>
            <w:r>
              <w:rPr/>
              <w:t>​</w:t>
            </w:r>
          </w:p>
        </w:tc>
        <w:tc>
          <w:tcPr>
            <w:tcW w:w="1411" w:type="dxa"/>
            <w:tcBorders/>
            <w:vAlign w:val="center"/>
          </w:tcPr>
          <w:p>
            <w:pPr>
              <w:pStyle w:val="TableContents"/>
              <w:bidi w:val="0"/>
              <w:spacing w:lineRule="auto" w:line="285" w:before="0" w:after="0"/>
              <w:ind w:left="0" w:right="0" w:hanging="0"/>
              <w:jc w:val="left"/>
              <w:rPr/>
            </w:pPr>
            <w:r>
              <w:rPr/>
              <w:t>​</w:t>
            </w:r>
          </w:p>
        </w:tc>
      </w:tr>
      <w:tr>
        <w:trPr/>
        <w:tc>
          <w:tcPr>
            <w:tcW w:w="2581" w:type="dxa"/>
            <w:tcBorders>
              <w:bottom w:val="single" w:sz="2" w:space="0" w:color="000000"/>
            </w:tcBorders>
            <w:tcMar>
              <w:bottom w:w="28" w:type="dxa"/>
            </w:tcMar>
            <w:vAlign w:val="center"/>
          </w:tcPr>
          <w:p>
            <w:pPr>
              <w:pStyle w:val="TableContents"/>
              <w:bidi w:val="0"/>
              <w:spacing w:lineRule="auto" w:line="285" w:before="0" w:after="4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196" w:type="dxa"/>
            <w:tcBorders>
              <w:bottom w:val="single" w:sz="2" w:space="0" w:color="000000"/>
            </w:tcBorders>
            <w:tcMar>
              <w:bottom w:w="28" w:type="dxa"/>
            </w:tcMar>
            <w:vAlign w:val="center"/>
          </w:tcPr>
          <w:p>
            <w:pPr>
              <w:pStyle w:val="TableContents"/>
              <w:bidi w:val="0"/>
              <w:spacing w:lineRule="auto" w:line="285" w:before="0" w:after="40"/>
              <w:ind w:left="0" w:right="0" w:hanging="0"/>
              <w:jc w:val="center"/>
              <w:rPr>
                <w:rFonts w:ascii="Times New Roman;Times;serif" w:hAnsi="Times New Roman;Times;serif"/>
                <w:b/>
                <w:sz w:val="18"/>
              </w:rPr>
            </w:pPr>
            <w:r>
              <w:rPr>
                <w:rFonts w:ascii="Times New Roman;Times;serif" w:hAnsi="Times New Roman;Times;serif"/>
                <w:b/>
                <w:sz w:val="18"/>
              </w:rPr>
              <w:t>Name of Exchange on Which Registered</w:t>
            </w:r>
          </w:p>
        </w:tc>
        <w:tc>
          <w:tcPr>
            <w:tcW w:w="1411" w:type="dxa"/>
            <w:tcBorders>
              <w:bottom w:val="single" w:sz="2" w:space="0" w:color="000000"/>
            </w:tcBorders>
            <w:tcMar>
              <w:bottom w:w="28" w:type="dxa"/>
            </w:tcMar>
            <w:vAlign w:val="center"/>
          </w:tcPr>
          <w:p>
            <w:pPr>
              <w:pStyle w:val="TableContents"/>
              <w:bidi w:val="0"/>
              <w:spacing w:lineRule="auto" w:line="285" w:before="0" w:after="40"/>
              <w:ind w:left="0" w:right="0" w:hanging="0"/>
              <w:jc w:val="center"/>
              <w:rPr>
                <w:rFonts w:ascii="Times New Roman;Times;serif" w:hAnsi="Times New Roman;Times;serif"/>
                <w:b/>
                <w:sz w:val="18"/>
              </w:rPr>
            </w:pPr>
            <w:r>
              <w:rPr>
                <w:rFonts w:ascii="Times New Roman;Times;serif" w:hAnsi="Times New Roman;Times;serif"/>
                <w:b/>
                <w:sz w:val="18"/>
              </w:rPr>
              <w:t>Trading Symbol</w:t>
            </w:r>
          </w:p>
        </w:tc>
      </w:tr>
      <w:tr>
        <w:trPr/>
        <w:tc>
          <w:tcPr>
            <w:tcW w:w="258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Common Stock, $0.01 par value</w:t>
            </w:r>
          </w:p>
        </w:tc>
        <w:tc>
          <w:tcPr>
            <w:tcW w:w="319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8"/>
              </w:rPr>
              <w:t>The NASDAQ</w:t>
            </w:r>
            <w:r>
              <w:rPr>
                <w:rFonts w:ascii="Times New Roman;Times;serif" w:hAnsi="Times New Roman;Times;serif"/>
                <w:sz w:val="20"/>
              </w:rPr>
              <w:t xml:space="preserve"> </w:t>
            </w:r>
            <w:r>
              <w:rPr>
                <w:rFonts w:ascii="Times New Roman;Times;serif" w:hAnsi="Times New Roman;Times;serif"/>
                <w:b/>
                <w:sz w:val="18"/>
              </w:rPr>
              <w:t>Stock Market</w:t>
            </w:r>
          </w:p>
        </w:tc>
        <w:tc>
          <w:tcPr>
            <w:tcW w:w="141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DWSN</w:t>
            </w:r>
          </w:p>
        </w:tc>
      </w:tr>
    </w:tbl>
    <w:p>
      <w:pPr>
        <w:pStyle w:val="TextBody"/>
        <w:bidi w:val="0"/>
        <w:spacing w:lineRule="auto" w:line="285" w:before="0" w:after="80"/>
        <w:ind w:left="0" w:right="0" w:firstLine="432"/>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lineRule="auto" w:line="285" w:before="0" w:after="80"/>
        <w:ind w:left="0" w:right="0" w:firstLine="432"/>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lineRule="auto" w:line="285" w:before="0" w:after="80"/>
        <w:ind w:left="0" w:right="0" w:firstLine="432"/>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333" w:type="dxa"/>
        <w:jc w:val="left"/>
        <w:tblInd w:w="0" w:type="dxa"/>
        <w:tblLayout w:type="fixed"/>
        <w:tblCellMar>
          <w:top w:w="0" w:type="dxa"/>
          <w:left w:w="0" w:type="dxa"/>
          <w:bottom w:w="0" w:type="dxa"/>
          <w:right w:w="0" w:type="dxa"/>
        </w:tblCellMar>
      </w:tblPr>
      <w:tblGrid>
        <w:gridCol w:w="1771"/>
        <w:gridCol w:w="2266"/>
        <w:gridCol w:w="2296"/>
      </w:tblGrid>
      <w:tr>
        <w:trPr/>
        <w:tc>
          <w:tcPr>
            <w:tcW w:w="1771" w:type="dxa"/>
            <w:tcBorders/>
            <w:vAlign w:val="center"/>
          </w:tcPr>
          <w:p>
            <w:pPr>
              <w:pStyle w:val="TableContents"/>
              <w:bidi w:val="0"/>
              <w:spacing w:lineRule="auto" w:line="285" w:before="0" w:after="0"/>
              <w:ind w:left="0" w:right="0" w:hanging="0"/>
              <w:jc w:val="left"/>
              <w:rPr/>
            </w:pPr>
            <w:r>
              <w:rPr/>
              <w:t>​</w:t>
            </w:r>
          </w:p>
        </w:tc>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38910" cy="175260"/>
                      <wp:effectExtent l="0" t="0" r="0" b="0"/>
                      <wp:wrapNone/>
                      <wp:docPr id="2" name="Frame2"/>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lineRule="auto" w:line="285" w:before="0" w:after="0"/>
              <w:ind w:left="0" w:right="0" w:hanging="0"/>
              <w:jc w:val="left"/>
              <w:rPr/>
            </w:pPr>
            <w:r>
              <w:rPr/>
              <w:t>​</w:t>
            </w:r>
          </w:p>
        </w:tc>
      </w:tr>
      <w:tr>
        <w:trPr/>
        <w:tc>
          <w:tcPr>
            <w:tcW w:w="177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226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229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771" w:type="dxa"/>
            <w:tcBorders/>
            <w:vAlign w:val="center"/>
          </w:tcPr>
          <w:p>
            <w:pPr>
              <w:pStyle w:val="TableContents"/>
              <w:bidi w:val="0"/>
              <w:spacing w:lineRule="auto" w:line="285" w:before="0" w:after="0"/>
              <w:ind w:left="0" w:right="0" w:hanging="0"/>
              <w:jc w:val="center"/>
              <w:rPr/>
            </w:pPr>
            <w:r>
              <w:rPr/>
              <w:t>​</w:t>
            </w:r>
          </w:p>
        </w:tc>
        <w:tc>
          <w:tcPr>
            <w:tcW w:w="2266" w:type="dxa"/>
            <w:tcBorders/>
            <w:vAlign w:val="center"/>
          </w:tcPr>
          <w:p>
            <w:pPr>
              <w:pStyle w:val="TableContents"/>
              <w:bidi w:val="0"/>
              <w:spacing w:lineRule="auto" w:line="285" w:before="0" w:after="0"/>
              <w:ind w:left="0" w:right="0" w:hanging="0"/>
              <w:jc w:val="left"/>
              <w:rPr/>
            </w:pPr>
            <w:r>
              <w:rPr/>
              <w:t>​</w:t>
            </w:r>
          </w:p>
        </w:tc>
        <w:tc>
          <w:tcPr>
            <w:tcW w:w="2296" w:type="dxa"/>
            <w:tcBorders/>
            <w:vAlign w:val="center"/>
          </w:tcPr>
          <w:p>
            <w:pPr>
              <w:pStyle w:val="TableContents"/>
              <w:bidi w:val="0"/>
              <w:spacing w:lineRule="auto" w:line="285" w:before="0" w:after="0"/>
              <w:ind w:left="0" w:right="0" w:hanging="0"/>
              <w:jc w:val="center"/>
              <w:rPr/>
            </w:pPr>
            <w:r>
              <w:rPr/>
              <w:t>​</w:t>
            </w:r>
          </w:p>
        </w:tc>
      </w:tr>
      <w:tr>
        <w:trPr/>
        <w:tc>
          <w:tcPr>
            <w:tcW w:w="177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22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c>
          <w:tcPr>
            <w:tcW w:w="2296" w:type="dxa"/>
            <w:tcBorders/>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80" w:after="80"/>
        <w:ind w:left="0" w:right="0" w:firstLine="432"/>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80"/>
        <w:ind w:left="0" w:right="0" w:firstLine="432"/>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lineRule="auto" w:line="285" w:before="0" w:after="80"/>
        <w:ind w:left="0" w:right="0" w:firstLine="432"/>
        <w:jc w:val="left"/>
        <w:rPr>
          <w:rFonts w:ascii="Times New Roman;Times;serif" w:hAnsi="Times New Roman;Times;serif"/>
          <w:sz w:val="18"/>
        </w:rPr>
      </w:pPr>
      <w:r>
        <w:rPr>
          <w:rFonts w:ascii="Times New Roman;Times;serif" w:hAnsi="Times New Roman;Times;serif"/>
          <w:sz w:val="18"/>
        </w:rPr>
        <w:t>Indicate the number of shares outstanding of each of the registrant’s classes of common stock, as of the latest practicable date.</w:t>
      </w:r>
    </w:p>
    <w:tbl>
      <w:tblPr>
        <w:tblW w:w="5148" w:type="dxa"/>
        <w:jc w:val="left"/>
        <w:tblInd w:w="0" w:type="dxa"/>
        <w:tblLayout w:type="fixed"/>
        <w:tblCellMar>
          <w:top w:w="0" w:type="dxa"/>
          <w:left w:w="0" w:type="dxa"/>
          <w:bottom w:w="0" w:type="dxa"/>
          <w:right w:w="0" w:type="dxa"/>
        </w:tblCellMar>
      </w:tblPr>
      <w:tblGrid>
        <w:gridCol w:w="2416"/>
        <w:gridCol w:w="346"/>
        <w:gridCol w:w="2386"/>
      </w:tblGrid>
      <w:tr>
        <w:trPr/>
        <w:tc>
          <w:tcPr>
            <w:tcW w:w="24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86" w:type="dxa"/>
            <w:tcBorders/>
            <w:vAlign w:val="center"/>
          </w:tcPr>
          <w:p>
            <w:pPr>
              <w:pStyle w:val="TableContents"/>
              <w:bidi w:val="0"/>
              <w:spacing w:lineRule="auto" w:line="285" w:before="0" w:after="0"/>
              <w:ind w:left="0" w:right="0" w:hanging="0"/>
              <w:jc w:val="left"/>
              <w:rPr/>
            </w:pPr>
            <w:r>
              <w:rPr/>
              <w:t>​</w:t>
            </w:r>
          </w:p>
        </w:tc>
      </w:tr>
      <w:tr>
        <w:trPr/>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vAlign w:val="center"/>
          </w:tcPr>
          <w:p>
            <w:pPr>
              <w:pStyle w:val="TableContents"/>
              <w:bidi w:val="0"/>
              <w:spacing w:lineRule="auto" w:line="285" w:before="0" w:after="0"/>
              <w:ind w:left="0" w:right="0" w:hanging="0"/>
              <w:jc w:val="left"/>
              <w:rPr/>
            </w:pPr>
            <w:r>
              <w:rPr/>
              <w:t>  ​ ​ ​</w:t>
            </w:r>
          </w:p>
        </w:tc>
        <w:tc>
          <w:tcPr>
            <w:tcW w:w="23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Outstanding at May 13, 2026</w:t>
            </w:r>
          </w:p>
        </w:tc>
      </w:tr>
      <w:tr>
        <w:trPr/>
        <w:tc>
          <w:tcPr>
            <w:tcW w:w="2416" w:type="dxa"/>
            <w:tcBorders>
              <w:top w:val="single" w:sz="2" w:space="0" w:color="000000"/>
            </w:tcBorders>
            <w:tcMar>
              <w:top w:w="28" w:type="dxa"/>
            </w:tcMar>
            <w:vAlign w:val="center"/>
          </w:tcPr>
          <w:p>
            <w:pPr>
              <w:pStyle w:val="TableContents"/>
              <w:bidi w:val="0"/>
              <w:spacing w:lineRule="atLeast" w:line="200" w:before="0" w:after="0"/>
              <w:ind w:left="0" w:right="0" w:hanging="0"/>
              <w:jc w:val="center"/>
              <w:rPr>
                <w:rFonts w:ascii="Times New Roman;Times;serif" w:hAnsi="Times New Roman;Times;serif"/>
                <w:sz w:val="18"/>
              </w:rPr>
            </w:pPr>
            <w:r>
              <w:rPr>
                <w:rFonts w:ascii="Times New Roman;Times;serif" w:hAnsi="Times New Roman;Times;serif"/>
                <w:sz w:val="18"/>
              </w:rPr>
              <w:t>Common Stock, $0.01 par value</w:t>
            </w:r>
          </w:p>
        </w:tc>
        <w:tc>
          <w:tcPr>
            <w:tcW w:w="346" w:type="dxa"/>
            <w:tcBorders/>
            <w:vAlign w:val="center"/>
          </w:tcPr>
          <w:p>
            <w:pPr>
              <w:pStyle w:val="TableContents"/>
              <w:bidi w:val="0"/>
              <w:spacing w:lineRule="auto" w:line="285" w:before="0" w:after="0"/>
              <w:ind w:left="0" w:right="0" w:hanging="0"/>
              <w:jc w:val="left"/>
              <w:rPr/>
            </w:pPr>
            <w:r>
              <w:rPr/>
              <w:t>​</w:t>
            </w:r>
          </w:p>
        </w:tc>
        <w:tc>
          <w:tcPr>
            <w:tcW w:w="238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31,052,840 shares</w:t>
            </w:r>
          </w:p>
        </w:tc>
      </w:tr>
    </w:tbl>
    <w:p>
      <w:pPr>
        <w:pStyle w:val="TextBody"/>
        <w:bidi w:val="0"/>
        <w:spacing w:lineRule="auto" w:line="285" w:before="0" w:after="0"/>
        <w:ind w:left="0" w:right="0" w:hanging="0"/>
        <w:jc w:val="left"/>
        <w:rPr/>
      </w:pPr>
      <w:r>
        <w:rPr/>
        <w:t>​</w:t>
      </w:r>
    </w:p>
    <w:p>
      <w:pPr>
        <w:pStyle w:val="TextBody"/>
        <w:pBdr>
          <w:bottom w:val="single" w:sz="8" w:space="1" w:color="000000"/>
        </w:pBdr>
        <w:bidi w:val="0"/>
        <w:spacing w:lineRule="auto" w:line="285" w:before="0" w:after="0"/>
        <w:ind w:left="0" w:right="0" w:hanging="0"/>
        <w:jc w:val="left"/>
        <w:rPr>
          <w:bdr w:val="single" w:sz="24" w:space="1" w:color="000000"/>
        </w:rPr>
      </w:pPr>
      <w:r>
        <w:rPr>
          <w:bdr w:val="single" w:sz="24" w:space="1" w:color="000000"/>
        </w:rPr>
        <w:t>​</w:t>
      </w:r>
    </w:p>
    <w:p>
      <w:pPr>
        <w:pStyle w:val="TextBody"/>
        <w:bidi w:val="0"/>
        <w:spacing w:lineRule="auto" w:line="285" w:before="0" w:after="0"/>
        <w:ind w:left="0" w:right="0" w:hanging="0"/>
        <w:jc w:val="left"/>
        <w:rPr/>
      </w:pPr>
      <w:r>
        <w:rPr/>
        <w:t>​</w:t>
      </w:r>
    </w:p>
    <w:p>
      <w:pPr>
        <w:pStyle w:val="TextBody"/>
        <w:bidi w:val="0"/>
        <w:spacing w:lineRule="auto" w:line="314" w:before="0" w:after="120"/>
        <w:ind w:left="0" w:right="0" w:hanging="0"/>
        <w:jc w:val="center"/>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23" w:name="TOC"/>
      <w:bookmarkStart w:id="24" w:name="_5bf3ed9c_897f_48f2_b896_00d374c23bbf"/>
      <w:bookmarkEnd w:id="23"/>
      <w:bookmarkEnd w:id="24"/>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INDEX</w:t>
      </w:r>
    </w:p>
    <w:tbl>
      <w:tblPr>
        <w:tblW w:w="10205" w:type="dxa"/>
        <w:jc w:val="left"/>
        <w:tblInd w:w="0" w:type="dxa"/>
        <w:tblLayout w:type="fixed"/>
        <w:tblCellMar>
          <w:top w:w="0" w:type="dxa"/>
          <w:left w:w="0" w:type="dxa"/>
          <w:bottom w:w="0" w:type="dxa"/>
          <w:right w:w="0" w:type="dxa"/>
        </w:tblCellMar>
      </w:tblPr>
      <w:tblGrid>
        <w:gridCol w:w="9123"/>
        <w:gridCol w:w="346"/>
        <w:gridCol w:w="736"/>
      </w:tblGrid>
      <w:tr>
        <w:trPr/>
        <w:tc>
          <w:tcPr>
            <w:tcW w:w="912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Page</w:t>
              <w:br/>
              <w:t>Number</w:t>
            </w:r>
          </w:p>
        </w:tc>
      </w:tr>
      <w:tr>
        <w:trPr/>
        <w:tc>
          <w:tcPr>
            <w:tcW w:w="9123" w:type="dxa"/>
            <w:tcBorders/>
            <w:vAlign w:val="center"/>
          </w:tcPr>
          <w:p>
            <w:pPr>
              <w:pStyle w:val="TableContents"/>
              <w:bidi w:val="0"/>
              <w:spacing w:lineRule="auto" w:line="285" w:before="0" w:after="0"/>
              <w:ind w:left="0" w:right="0" w:hanging="0"/>
              <w:jc w:val="left"/>
              <w:rPr/>
            </w:pPr>
            <w:hyperlink w:anchor="PARTIFINANCIALINFORMATION_430767">
              <w:r>
                <w:rPr>
                  <w:rStyle w:val="InternetLink"/>
                  <w:rFonts w:ascii="Times New Roman;Times;serif" w:hAnsi="Times New Roman;Times;serif"/>
                  <w:b/>
                  <w:i w:val="false"/>
                  <w:caps w:val="false"/>
                  <w:smallCaps w:val="false"/>
                  <w:sz w:val="20"/>
                </w:rPr>
                <w:t>Part I. FINANCIAL INFORMATION</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123" w:type="dxa"/>
            <w:tcBorders/>
            <w:vAlign w:val="center"/>
          </w:tcPr>
          <w:p>
            <w:pPr>
              <w:pStyle w:val="TableContents"/>
              <w:pBdr/>
              <w:bidi w:val="0"/>
              <w:spacing w:lineRule="auto" w:line="285" w:before="0" w:after="0"/>
              <w:ind w:left="0" w:right="0" w:hanging="0"/>
              <w:jc w:val="left"/>
              <w:rPr/>
            </w:pPr>
            <w:hyperlink w:anchor="ITEM1FINANCIALSTATEMENTS_376548">
              <w:r>
                <w:rPr>
                  <w:rStyle w:val="InternetLink"/>
                  <w:rFonts w:ascii="Times New Roman;Times;serif" w:hAnsi="Times New Roman;Times;serif"/>
                  <w:b w:val="false"/>
                  <w:i w:val="false"/>
                  <w:caps w:val="false"/>
                  <w:smallCaps w:val="false"/>
                  <w:sz w:val="20"/>
                </w:rPr>
                <w:t xml:space="preserve">Item 1. Financial Statements </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123" w:type="dxa"/>
            <w:tcBorders/>
            <w:vAlign w:val="center"/>
          </w:tcPr>
          <w:p>
            <w:pPr>
              <w:pStyle w:val="TableContents"/>
              <w:bidi w:val="0"/>
              <w:spacing w:lineRule="auto" w:line="285" w:before="0" w:after="0"/>
              <w:ind w:left="0" w:right="0" w:hanging="0"/>
              <w:jc w:val="left"/>
              <w:rPr/>
            </w:pPr>
            <w:hyperlink w:anchor="BALANCESHEETS_107274">
              <w:r>
                <w:rPr>
                  <w:rStyle w:val="InternetLink"/>
                  <w:rFonts w:ascii="Times New Roman;Times;serif" w:hAnsi="Times New Roman;Times;serif"/>
                  <w:b w:val="false"/>
                  <w:i w:val="false"/>
                  <w:caps w:val="false"/>
                  <w:smallCaps w:val="false"/>
                  <w:sz w:val="20"/>
                </w:rPr>
                <w:t>Condensed Consolidated Balance Sheets at March 31, 2026 and December 31, 2025 (unaudited)</w:t>
              </w:r>
            </w:hyperlink>
            <w:r>
              <w:rPr>
                <w:rFonts w:ascii="Times New Roman;Times;serif" w:hAnsi="Times New Roman;Times;serif"/>
                <w:sz w:val="20"/>
              </w:rPr>
              <w:t xml:space="preserve"> </w:t>
            </w:r>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123" w:type="dxa"/>
            <w:tcBorders/>
            <w:vAlign w:val="center"/>
          </w:tcPr>
          <w:p>
            <w:pPr>
              <w:pStyle w:val="TableContents"/>
              <w:bidi w:val="0"/>
              <w:spacing w:lineRule="auto" w:line="285" w:before="0" w:after="0"/>
              <w:ind w:left="0" w:right="0" w:hanging="0"/>
              <w:jc w:val="left"/>
              <w:rPr/>
            </w:pPr>
            <w:hyperlink w:anchor="COMPREHENSIVELOSS_871319">
              <w:r>
                <w:rPr>
                  <w:rStyle w:val="InternetLink"/>
                  <w:rFonts w:ascii="Times New Roman;Times;serif" w:hAnsi="Times New Roman;Times;serif"/>
                  <w:b w:val="false"/>
                  <w:i w:val="false"/>
                  <w:caps w:val="false"/>
                  <w:smallCaps w:val="false"/>
                  <w:sz w:val="20"/>
                </w:rPr>
                <w:t>Condensed Consolidated Statements of Operations and Comprehensive Income for the Three Months Ended March 31, 2026</w:t>
              </w:r>
            </w:hyperlink>
            <w:hyperlink w:anchor="COMPREHENSIVELOSS_871319">
              <w:r>
                <w:rPr>
                  <w:rStyle w:val="InternetLink"/>
                  <w:rFonts w:ascii="Times New Roman;Times;serif" w:hAnsi="Times New Roman;Times;serif"/>
                  <w:caps w:val="false"/>
                  <w:smallCaps w:val="false"/>
                  <w:sz w:val="20"/>
                </w:rPr>
                <w:t> </w:t>
              </w:r>
            </w:hyperlink>
            <w:hyperlink w:anchor="COMPREHENSIVELOSS_871319">
              <w:r>
                <w:rPr>
                  <w:rStyle w:val="InternetLink"/>
                  <w:rFonts w:ascii="Times New Roman;Times;serif" w:hAnsi="Times New Roman;Times;serif"/>
                  <w:b w:val="false"/>
                  <w:i w:val="false"/>
                  <w:caps w:val="false"/>
                  <w:smallCaps w:val="false"/>
                  <w:sz w:val="20"/>
                </w:rPr>
                <w:t>and 2025 (unaudited)</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123" w:type="dxa"/>
            <w:tcBorders/>
            <w:vAlign w:val="center"/>
          </w:tcPr>
          <w:p>
            <w:pPr>
              <w:pStyle w:val="TableContents"/>
              <w:bidi w:val="0"/>
              <w:spacing w:lineRule="auto" w:line="285" w:before="0" w:after="0"/>
              <w:ind w:left="0" w:right="0" w:hanging="0"/>
              <w:jc w:val="left"/>
              <w:rPr/>
            </w:pPr>
            <w:hyperlink w:anchor="CASHFLOWS_208457">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123" w:type="dxa"/>
            <w:tcBorders/>
            <w:vAlign w:val="center"/>
          </w:tcPr>
          <w:p>
            <w:pPr>
              <w:pStyle w:val="TableContents"/>
              <w:bidi w:val="0"/>
              <w:spacing w:lineRule="auto" w:line="285" w:before="0" w:after="0"/>
              <w:ind w:left="0" w:right="0" w:hanging="0"/>
              <w:jc w:val="left"/>
              <w:rPr/>
            </w:pPr>
            <w:hyperlink w:anchor="STOCKHOLDERSEQUITY_926433">
              <w:r>
                <w:rPr>
                  <w:rStyle w:val="InternetLink"/>
                  <w:rFonts w:ascii="Times New Roman;Times;serif" w:hAnsi="Times New Roman;Times;serif"/>
                  <w:b w:val="false"/>
                  <w:i w:val="false"/>
                  <w:caps w:val="false"/>
                  <w:smallCaps w:val="false"/>
                  <w:sz w:val="20"/>
                </w:rPr>
                <w:t>Condensed Consolidated Statements of Stockholders’ Equity for the Three Months Ended March 31, 2026 and 2025 (unaudited)</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123" w:type="dxa"/>
            <w:tcBorders/>
            <w:vAlign w:val="center"/>
          </w:tcPr>
          <w:p>
            <w:pPr>
              <w:pStyle w:val="TableContents"/>
              <w:bidi w:val="0"/>
              <w:spacing w:lineRule="auto" w:line="285"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123" w:type="dxa"/>
            <w:tcBorders/>
            <w:vAlign w:val="center"/>
          </w:tcPr>
          <w:p>
            <w:pPr>
              <w:pStyle w:val="TableContents"/>
              <w:pBdr/>
              <w:bidi w:val="0"/>
              <w:spacing w:lineRule="auto" w:line="285" w:before="0" w:after="0"/>
              <w:ind w:left="0" w:right="0" w:hanging="0"/>
              <w:jc w:val="left"/>
              <w:rPr/>
            </w:pPr>
            <w:hyperlink w:anchor="ITEM2MANAGEMENTSDISCUSSIONANDANALYSIS_23">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9123" w:type="dxa"/>
            <w:tcBorders/>
            <w:vAlign w:val="center"/>
          </w:tcPr>
          <w:p>
            <w:pPr>
              <w:pStyle w:val="TableContents"/>
              <w:pBdr/>
              <w:bidi w:val="0"/>
              <w:spacing w:lineRule="auto" w:line="285" w:before="0" w:after="0"/>
              <w:ind w:left="0" w:right="0" w:hanging="0"/>
              <w:jc w:val="left"/>
              <w:rPr/>
            </w:pPr>
            <w:hyperlink w:anchor="ITEM3QUANTITATIVEANDQUALITATIVE_777615">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21</w:t>
            </w:r>
          </w:p>
        </w:tc>
      </w:tr>
      <w:tr>
        <w:trPr/>
        <w:tc>
          <w:tcPr>
            <w:tcW w:w="9123" w:type="dxa"/>
            <w:tcBorders/>
            <w:vAlign w:val="center"/>
          </w:tcPr>
          <w:p>
            <w:pPr>
              <w:pStyle w:val="TableContents"/>
              <w:pBdr/>
              <w:bidi w:val="0"/>
              <w:spacing w:lineRule="auto" w:line="285" w:before="0" w:after="0"/>
              <w:ind w:left="0" w:right="0" w:hanging="0"/>
              <w:jc w:val="left"/>
              <w:rPr/>
            </w:pPr>
            <w:hyperlink w:anchor="ITEM4CONTROLSANDPROCEDURES_180441">
              <w:r>
                <w:rPr>
                  <w:rStyle w:val="InternetLink"/>
                  <w:rFonts w:ascii="Times New Roman;Times;serif" w:hAnsi="Times New Roman;Times;serif"/>
                  <w:b w:val="false"/>
                  <w:i w:val="false"/>
                  <w:caps w:val="false"/>
                  <w:smallCaps w:val="false"/>
                  <w:sz w:val="20"/>
                </w:rPr>
                <w:t>Item 4. Controls and Procedures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22</w:t>
            </w:r>
          </w:p>
        </w:tc>
      </w:tr>
      <w:tr>
        <w:trPr/>
        <w:tc>
          <w:tcPr>
            <w:tcW w:w="9123" w:type="dxa"/>
            <w:tcBorders/>
            <w:vAlign w:val="center"/>
          </w:tcPr>
          <w:p>
            <w:pPr>
              <w:pStyle w:val="TableContents"/>
              <w:bidi w:val="0"/>
              <w:spacing w:lineRule="auto" w:line="285" w:before="0" w:after="0"/>
              <w:ind w:left="0" w:right="0" w:hanging="0"/>
              <w:jc w:val="left"/>
              <w:rPr/>
            </w:pPr>
            <w:hyperlink w:anchor="PARTIIOTHERINFORMATION_378548">
              <w:r>
                <w:rPr>
                  <w:rStyle w:val="InternetLink"/>
                  <w:rFonts w:ascii="Times New Roman;Times;serif" w:hAnsi="Times New Roman;Times;serif"/>
                  <w:b/>
                  <w:i w:val="false"/>
                  <w:caps w:val="false"/>
                  <w:smallCaps w:val="false"/>
                  <w:sz w:val="20"/>
                </w:rPr>
                <w:t>Part II. OTHER INFORMATION</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123" w:type="dxa"/>
            <w:tcBorders/>
            <w:vAlign w:val="center"/>
          </w:tcPr>
          <w:p>
            <w:pPr>
              <w:pStyle w:val="TableContents"/>
              <w:pBdr/>
              <w:bidi w:val="0"/>
              <w:spacing w:lineRule="auto" w:line="285" w:before="0" w:after="0"/>
              <w:ind w:left="0" w:right="0" w:hanging="0"/>
              <w:jc w:val="left"/>
              <w:rPr/>
            </w:pPr>
            <w:hyperlink w:anchor="ITEM1LEGALPROCEEDINGS_315864">
              <w:r>
                <w:rPr>
                  <w:rStyle w:val="InternetLink"/>
                  <w:rFonts w:ascii="Times New Roman;Times;serif" w:hAnsi="Times New Roman;Times;serif"/>
                  <w:b w:val="false"/>
                  <w:i w:val="false"/>
                  <w:caps w:val="false"/>
                  <w:smallCaps w:val="false"/>
                  <w:sz w:val="20"/>
                </w:rPr>
                <w:t>Item 1. Legal Proceedings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123" w:type="dxa"/>
            <w:tcBorders/>
            <w:vAlign w:val="center"/>
          </w:tcPr>
          <w:p>
            <w:pPr>
              <w:pStyle w:val="TableContents"/>
              <w:pBdr/>
              <w:bidi w:val="0"/>
              <w:spacing w:lineRule="auto" w:line="285" w:before="0" w:after="0"/>
              <w:ind w:left="0" w:right="0" w:hanging="0"/>
              <w:jc w:val="left"/>
              <w:rPr/>
            </w:pPr>
            <w:hyperlink w:anchor="ITEM1ARISKFACTORS_294464">
              <w:r>
                <w:rPr>
                  <w:rStyle w:val="InternetLink"/>
                  <w:rFonts w:ascii="Times New Roman;Times;serif" w:hAnsi="Times New Roman;Times;serif"/>
                  <w:b w:val="false"/>
                  <w:i w:val="false"/>
                  <w:caps w:val="false"/>
                  <w:smallCaps w:val="false"/>
                  <w:sz w:val="20"/>
                </w:rPr>
                <w:t>Item 1A. Risk Factors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123" w:type="dxa"/>
            <w:tcBorders/>
            <w:vAlign w:val="center"/>
          </w:tcPr>
          <w:p>
            <w:pPr>
              <w:pStyle w:val="TableContents"/>
              <w:pBdr/>
              <w:bidi w:val="0"/>
              <w:spacing w:lineRule="auto" w:line="285"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123" w:type="dxa"/>
            <w:tcBorders/>
            <w:vAlign w:val="center"/>
          </w:tcPr>
          <w:p>
            <w:pPr>
              <w:pStyle w:val="TableContents"/>
              <w:pBdr/>
              <w:bidi w:val="0"/>
              <w:spacing w:lineRule="auto" w:line="285"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 xml:space="preserve">Item 3. Defaults Upon Senior Securities </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123" w:type="dxa"/>
            <w:tcBorders/>
            <w:vAlign w:val="center"/>
          </w:tcPr>
          <w:p>
            <w:pPr>
              <w:pStyle w:val="TableContents"/>
              <w:pBdr/>
              <w:bidi w:val="0"/>
              <w:spacing w:lineRule="auto" w:line="285" w:before="0" w:after="0"/>
              <w:ind w:left="0" w:right="0" w:hanging="0"/>
              <w:jc w:val="left"/>
              <w:rPr/>
            </w:pPr>
            <w:hyperlink w:anchor="ITEM4MINESAFETYDISCLOSURES">
              <w:r>
                <w:rPr>
                  <w:rStyle w:val="InternetLink"/>
                  <w:rFonts w:ascii="Times New Roman;Times;serif" w:hAnsi="Times New Roman;Times;serif"/>
                  <w:b w:val="false"/>
                  <w:i w:val="false"/>
                  <w:caps w:val="false"/>
                  <w:smallCaps w:val="false"/>
                  <w:sz w:val="20"/>
                </w:rPr>
                <w:t>Item 4. Mine Safety Disclosures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123" w:type="dxa"/>
            <w:tcBorders/>
            <w:vAlign w:val="center"/>
          </w:tcPr>
          <w:p>
            <w:pPr>
              <w:pStyle w:val="TableContents"/>
              <w:pBdr/>
              <w:bidi w:val="0"/>
              <w:spacing w:lineRule="auto" w:line="285"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 Other Information</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123" w:type="dxa"/>
            <w:tcBorders/>
            <w:vAlign w:val="center"/>
          </w:tcPr>
          <w:p>
            <w:pPr>
              <w:pStyle w:val="TableContents"/>
              <w:pBdr/>
              <w:bidi w:val="0"/>
              <w:spacing w:lineRule="auto" w:line="285"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Item 6. Exhibits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23" w:type="dxa"/>
            <w:tcBorders/>
            <w:vAlign w:val="center"/>
          </w:tcPr>
          <w:p>
            <w:pPr>
              <w:pStyle w:val="TableContents"/>
              <w:pBdr/>
              <w:bidi w:val="0"/>
              <w:spacing w:lineRule="auto" w:line="285" w:before="0" w:after="0"/>
              <w:ind w:left="0" w:right="0" w:hanging="0"/>
              <w:jc w:val="left"/>
              <w:rPr/>
            </w:pPr>
            <w:hyperlink w:anchor="SIGNATURES_258787">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20"/>
        <w:ind w:left="0" w:right="0" w:hanging="0"/>
        <w:jc w:val="center"/>
        <w:rPr>
          <w:rFonts w:ascii="Times New Roman;Times;serif" w:hAnsi="Times New Roman;Times;serif"/>
          <w:b/>
          <w:sz w:val="18"/>
        </w:rPr>
      </w:pPr>
      <w:bookmarkStart w:id="25" w:name="PARTIFINANCIALINFORMATION_430767"/>
      <w:bookmarkStart w:id="26" w:name="_84284bb2_04c1_4acd_974b_22116313faaa"/>
      <w:bookmarkEnd w:id="25"/>
      <w:bookmarkEnd w:id="26"/>
      <w:r>
        <w:rPr>
          <w:rFonts w:ascii="Times New Roman;Times;serif" w:hAnsi="Times New Roman;Times;serif"/>
          <w:b/>
          <w:sz w:val="18"/>
        </w:rPr>
        <w:t>PART I. FINANCIAL INFORMATION</w:t>
      </w:r>
    </w:p>
    <w:p>
      <w:pPr>
        <w:pStyle w:val="TextBody"/>
        <w:bidi w:val="0"/>
        <w:spacing w:lineRule="auto" w:line="285" w:before="0" w:after="120"/>
        <w:ind w:left="0" w:right="0" w:hanging="0"/>
        <w:jc w:val="left"/>
        <w:rPr>
          <w:rFonts w:ascii="Times New Roman;Times;serif" w:hAnsi="Times New Roman;Times;serif"/>
          <w:b/>
          <w:sz w:val="18"/>
        </w:rPr>
      </w:pPr>
      <w:bookmarkStart w:id="27" w:name="ITEM1FINANCIALSTATEMENTS_376548"/>
      <w:bookmarkEnd w:id="27"/>
      <w:r>
        <w:rPr>
          <w:rFonts w:ascii="Times New Roman;Times;serif" w:hAnsi="Times New Roman;Times;serif"/>
          <w:b/>
          <w:sz w:val="18"/>
        </w:rPr>
        <w:t>ITEM 1. FINANCIAL STATEMENTS (UNAUDITED)</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DAWSON GEOPHYSICAL COMPANY</w:t>
      </w:r>
    </w:p>
    <w:p>
      <w:pPr>
        <w:pStyle w:val="TextBody"/>
        <w:bidi w:val="0"/>
        <w:spacing w:lineRule="auto" w:line="285" w:before="0" w:after="0"/>
        <w:ind w:left="0" w:right="0" w:hanging="0"/>
        <w:jc w:val="center"/>
        <w:rPr>
          <w:rFonts w:ascii="Times New Roman;Times;serif" w:hAnsi="Times New Roman;Times;serif"/>
          <w:b/>
          <w:sz w:val="18"/>
        </w:rPr>
      </w:pPr>
      <w:bookmarkStart w:id="28" w:name="BALANCESHEETS_107274"/>
      <w:bookmarkEnd w:id="28"/>
      <w:r>
        <w:rPr>
          <w:rFonts w:ascii="Times New Roman;Times;serif" w:hAnsi="Times New Roman;Times;serif"/>
          <w:b/>
          <w:sz w:val="18"/>
        </w:rPr>
        <w:t>CONDENSED CONSOLIDATED BALANCE SHEETS</w:t>
      </w:r>
    </w:p>
    <w:p>
      <w:pPr>
        <w:pStyle w:val="TextBody"/>
        <w:bidi w:val="0"/>
        <w:spacing w:lineRule="auto" w:line="285" w:before="0" w:after="120"/>
        <w:ind w:left="0" w:right="0" w:hanging="0"/>
        <w:jc w:val="center"/>
        <w:rPr>
          <w:rFonts w:ascii="Times New Roman;Times;serif" w:hAnsi="Times New Roman;Times;serif"/>
          <w:b/>
          <w:sz w:val="18"/>
        </w:rPr>
      </w:pPr>
      <w:r>
        <w:rPr>
          <w:rFonts w:ascii="Times New Roman;Times;serif" w:hAnsi="Times New Roman;Times;serif"/>
          <w:b/>
          <w:sz w:val="18"/>
        </w:rPr>
        <w:t>(unaudited and amounts in thousands, except share data)</w:t>
      </w:r>
    </w:p>
    <w:p>
      <w:pPr>
        <w:pStyle w:val="Normal"/>
        <w:bidi w:val="0"/>
        <w:spacing w:before="0" w:after="0"/>
        <w:jc w:val="left"/>
        <w:rPr>
          <w:sz w:val="4"/>
          <w:szCs w:val="4"/>
        </w:rPr>
      </w:pPr>
      <w:r>
        <w:rPr>
          <w:sz w:val="4"/>
          <w:szCs w:val="4"/>
        </w:rPr>
      </w:r>
      <w:bookmarkStart w:id="29" w:name="Tc_eSTe5-y1S0idDyFN_BKNxQ_50_5"/>
      <w:bookmarkStart w:id="30" w:name="Tc_X3qF5kC4I0CU8ECgkiUEwA_50_2"/>
      <w:bookmarkStart w:id="31" w:name="Tc_LD2JQXhKAUaNfmCt61DMeA_50_0"/>
      <w:bookmarkStart w:id="32" w:name="Tc_b6t12bGHVEyDirNeccZX_A_48_0"/>
      <w:bookmarkStart w:id="33" w:name="Tc_Uwgf4xgUtEiWEmM8sk0KfQ_47_0"/>
      <w:bookmarkStart w:id="34" w:name="Tc_ch6Nqs78R0Gxu72NkXOfpQ_46_0"/>
      <w:bookmarkStart w:id="35" w:name="Tc_HS9kUbdic06mr56xFs79xw_45_0"/>
      <w:bookmarkStart w:id="36" w:name="Tc_LElTa9IvcUCAtTBprpws7w_44_0"/>
      <w:bookmarkStart w:id="37" w:name="Tc_x9evwbJp60yQmU3NccHceA_43_0"/>
      <w:bookmarkStart w:id="38" w:name="Tc_xjI-3TvmyEOwZbKLbqo8GA_42_0"/>
      <w:bookmarkStart w:id="39" w:name="Tc_TA2_UCZTZ0qInTDBFbTE_Q_41_0"/>
      <w:bookmarkStart w:id="40" w:name="Tc_0e1ZvwzcZUWX4q4DzpcW7Q_40_0"/>
      <w:bookmarkStart w:id="41" w:name="Tc_SwGZnWXud0u-Fm9L5hBJjQ_38_0"/>
      <w:bookmarkStart w:id="42" w:name="Tc_KDfDNqX_dUeJnmfbvdT8AA_36_0"/>
      <w:bookmarkStart w:id="43" w:name="Tc_woV-8wep1Ee2f3yDb8LBkw_35_0"/>
      <w:bookmarkStart w:id="44" w:name="Tc_eZrgiU20akWssHQJvB5sZg_34_0"/>
      <w:bookmarkStart w:id="45" w:name="Tc_6A7bKce82k2CF4haLBGdUw_33_0"/>
      <w:bookmarkStart w:id="46" w:name="Tc_jj0F9pfP2EiTNWgo1b8Hpg_32_0"/>
      <w:bookmarkStart w:id="47" w:name="Tc_mCDJLu252UmkZaKnurAslQ_30_0"/>
      <w:bookmarkStart w:id="48" w:name="Tc_M_OpKw8pFEOGniwcDrU9Xg_29_0"/>
      <w:bookmarkStart w:id="49" w:name="Tc_CmyzkMetf0iL_g4l0tMo4A_28_0"/>
      <w:bookmarkStart w:id="50" w:name="Tc_7OFbZGjwqUmvcXYHQJsPEQ_27_0"/>
      <w:bookmarkStart w:id="51" w:name="Tc_5XoCpK45GE-G0rSfR2EfhQ_26_0"/>
      <w:bookmarkStart w:id="52" w:name="Tc_eS1MPVOeGUOwutsQ3U4bgQ_25_0"/>
      <w:bookmarkStart w:id="53" w:name="Tc_E5pCI5tBi0eScuk4-ImFVQ_24_0"/>
      <w:bookmarkStart w:id="54" w:name="Tc_gzwATtziTEyM3kIBYbUzQQ_23_5"/>
      <w:bookmarkStart w:id="55" w:name="Tc_yHzO6lZUjEiE0Qgbuf84CQ_23_2"/>
      <w:bookmarkStart w:id="56" w:name="Tc_mO1wx2Glp0mpFue060KOwQ_23_0"/>
      <w:bookmarkStart w:id="57" w:name="Tc_M0OhH-Hs4kaXifq0Ro37-Q_22_0"/>
      <w:bookmarkStart w:id="58" w:name="Tc_I_oZEPVqi0eHeZ3wXKe_FQ_21_0"/>
      <w:bookmarkStart w:id="59" w:name="Tc_aCkC_OYwDkyOyDS7VNoRYw_19_5"/>
      <w:bookmarkStart w:id="60" w:name="Tc_s6p360LWj06KZbRJOLWfag_19_2"/>
      <w:bookmarkStart w:id="61" w:name="Tc_JO7kyHnpQkGeeTQSqCBddA_19_0"/>
      <w:bookmarkStart w:id="62" w:name="Tc_LS7oAzcMn0ibwkqPbiRysw_17_0"/>
      <w:bookmarkStart w:id="63" w:name="Tc_BtOF8aDi2k6THtlzY2VK5A_15_0"/>
      <w:bookmarkStart w:id="64" w:name="Tc_rx6mflyoLU2iZIDJGbpQFw_13_0"/>
      <w:bookmarkStart w:id="65" w:name="Tc_Nd9lfEeMV06eB0PusMzDWg_12_0"/>
      <w:bookmarkStart w:id="66" w:name="Tc_1jxMPGprP0GbPDwq7IhKsQ_11_0"/>
      <w:bookmarkStart w:id="67" w:name="Tc_IhRyPQfMoEGrMxpgL2dRTQ_9_0"/>
      <w:bookmarkStart w:id="68" w:name="Tc_URWdsPLoeUmOHCa88IrxCQ_8_0"/>
      <w:bookmarkStart w:id="69" w:name="Tc_wgS9MGv_aE-7TupherFP-w_7_0"/>
      <w:bookmarkStart w:id="70" w:name="Tc_f_aULgyHfU6XX00RUR7otA_6_0"/>
      <w:bookmarkStart w:id="71" w:name="Tc_g3Ig156cmUyUxEivhVqvAg_5_5"/>
      <w:bookmarkStart w:id="72" w:name="Tc_jJNetRMXQU-HWZlUNvzfcQ_5_2"/>
      <w:bookmarkStart w:id="73" w:name="Tc_TteYSwMAM02LFjeH8-91Zw_5_0"/>
      <w:bookmarkStart w:id="74" w:name="Tc_94ePU8wuaE6RkTf1WOi50A_4_0"/>
      <w:bookmarkStart w:id="75" w:name="Tc_ERdU8wopzE2ziaR83ZwQ8A_3_0"/>
      <w:bookmarkStart w:id="76" w:name="Tc_WIzTPxAduESrWf39PJzQkw_2_5"/>
      <w:bookmarkStart w:id="77" w:name="Tc_Gi7xCwuReki5jXg9eEKJaQ_2_2"/>
      <w:bookmarkStart w:id="78" w:name="Tc_lJNl3TAd4UWNGVGSj6HpcA_1_5"/>
      <w:bookmarkStart w:id="79" w:name="Tc_i7TFF8HWbkuhiuRmjujGmg_1_2"/>
      <w:bookmarkStart w:id="80" w:name="_562525e8_1c2e_4c88_924a_e8474009e1a0"/>
      <w:bookmarkStart w:id="81" w:name="Tc_eSTe5-y1S0idDyFN_BKNxQ_50_5"/>
      <w:bookmarkStart w:id="82" w:name="Tc_X3qF5kC4I0CU8ECgkiUEwA_50_2"/>
      <w:bookmarkStart w:id="83" w:name="Tc_LD2JQXhKAUaNfmCt61DMeA_50_0"/>
      <w:bookmarkStart w:id="84" w:name="Tc_b6t12bGHVEyDirNeccZX_A_48_0"/>
      <w:bookmarkStart w:id="85" w:name="Tc_Uwgf4xgUtEiWEmM8sk0KfQ_47_0"/>
      <w:bookmarkStart w:id="86" w:name="Tc_ch6Nqs78R0Gxu72NkXOfpQ_46_0"/>
      <w:bookmarkStart w:id="87" w:name="Tc_HS9kUbdic06mr56xFs79xw_45_0"/>
      <w:bookmarkStart w:id="88" w:name="Tc_LElTa9IvcUCAtTBprpws7w_44_0"/>
      <w:bookmarkStart w:id="89" w:name="Tc_x9evwbJp60yQmU3NccHceA_43_0"/>
      <w:bookmarkStart w:id="90" w:name="Tc_xjI-3TvmyEOwZbKLbqo8GA_42_0"/>
      <w:bookmarkStart w:id="91" w:name="Tc_TA2_UCZTZ0qInTDBFbTE_Q_41_0"/>
      <w:bookmarkStart w:id="92" w:name="Tc_0e1ZvwzcZUWX4q4DzpcW7Q_40_0"/>
      <w:bookmarkStart w:id="93" w:name="Tc_SwGZnWXud0u-Fm9L5hBJjQ_38_0"/>
      <w:bookmarkStart w:id="94" w:name="Tc_KDfDNqX_dUeJnmfbvdT8AA_36_0"/>
      <w:bookmarkStart w:id="95" w:name="Tc_woV-8wep1Ee2f3yDb8LBkw_35_0"/>
      <w:bookmarkStart w:id="96" w:name="Tc_eZrgiU20akWssHQJvB5sZg_34_0"/>
      <w:bookmarkStart w:id="97" w:name="Tc_6A7bKce82k2CF4haLBGdUw_33_0"/>
      <w:bookmarkStart w:id="98" w:name="Tc_jj0F9pfP2EiTNWgo1b8Hpg_32_0"/>
      <w:bookmarkStart w:id="99" w:name="Tc_mCDJLu252UmkZaKnurAslQ_30_0"/>
      <w:bookmarkStart w:id="100" w:name="Tc_M_OpKw8pFEOGniwcDrU9Xg_29_0"/>
      <w:bookmarkStart w:id="101" w:name="Tc_CmyzkMetf0iL_g4l0tMo4A_28_0"/>
      <w:bookmarkStart w:id="102" w:name="Tc_7OFbZGjwqUmvcXYHQJsPEQ_27_0"/>
      <w:bookmarkStart w:id="103" w:name="Tc_5XoCpK45GE-G0rSfR2EfhQ_26_0"/>
      <w:bookmarkStart w:id="104" w:name="Tc_eS1MPVOeGUOwutsQ3U4bgQ_25_0"/>
      <w:bookmarkStart w:id="105" w:name="Tc_E5pCI5tBi0eScuk4-ImFVQ_24_0"/>
      <w:bookmarkStart w:id="106" w:name="Tc_gzwATtziTEyM3kIBYbUzQQ_23_5"/>
      <w:bookmarkStart w:id="107" w:name="Tc_yHzO6lZUjEiE0Qgbuf84CQ_23_2"/>
      <w:bookmarkStart w:id="108" w:name="Tc_mO1wx2Glp0mpFue060KOwQ_23_0"/>
      <w:bookmarkStart w:id="109" w:name="Tc_M0OhH-Hs4kaXifq0Ro37-Q_22_0"/>
      <w:bookmarkStart w:id="110" w:name="Tc_I_oZEPVqi0eHeZ3wXKe_FQ_21_0"/>
      <w:bookmarkStart w:id="111" w:name="Tc_aCkC_OYwDkyOyDS7VNoRYw_19_5"/>
      <w:bookmarkStart w:id="112" w:name="Tc_s6p360LWj06KZbRJOLWfag_19_2"/>
      <w:bookmarkStart w:id="113" w:name="Tc_JO7kyHnpQkGeeTQSqCBddA_19_0"/>
      <w:bookmarkStart w:id="114" w:name="Tc_LS7oAzcMn0ibwkqPbiRysw_17_0"/>
      <w:bookmarkStart w:id="115" w:name="Tc_BtOF8aDi2k6THtlzY2VK5A_15_0"/>
      <w:bookmarkStart w:id="116" w:name="Tc_rx6mflyoLU2iZIDJGbpQFw_13_0"/>
      <w:bookmarkStart w:id="117" w:name="Tc_Nd9lfEeMV06eB0PusMzDWg_12_0"/>
      <w:bookmarkStart w:id="118" w:name="Tc_1jxMPGprP0GbPDwq7IhKsQ_11_0"/>
      <w:bookmarkStart w:id="119" w:name="Tc_IhRyPQfMoEGrMxpgL2dRTQ_9_0"/>
      <w:bookmarkStart w:id="120" w:name="Tc_URWdsPLoeUmOHCa88IrxCQ_8_0"/>
      <w:bookmarkStart w:id="121" w:name="Tc_wgS9MGv_aE-7TupherFP-w_7_0"/>
      <w:bookmarkStart w:id="122" w:name="Tc_f_aULgyHfU6XX00RUR7otA_6_0"/>
      <w:bookmarkStart w:id="123" w:name="Tc_g3Ig156cmUyUxEivhVqvAg_5_5"/>
      <w:bookmarkStart w:id="124" w:name="Tc_jJNetRMXQU-HWZlUNvzfcQ_5_2"/>
      <w:bookmarkStart w:id="125" w:name="Tc_TteYSwMAM02LFjeH8-91Zw_5_0"/>
      <w:bookmarkStart w:id="126" w:name="Tc_94ePU8wuaE6RkTf1WOi50A_4_0"/>
      <w:bookmarkStart w:id="127" w:name="Tc_ERdU8wopzE2ziaR83ZwQ8A_3_0"/>
      <w:bookmarkStart w:id="128" w:name="Tc_WIzTPxAduESrWf39PJzQkw_2_5"/>
      <w:bookmarkStart w:id="129" w:name="Tc_Gi7xCwuReki5jXg9eEKJaQ_2_2"/>
      <w:bookmarkStart w:id="130" w:name="Tc_lJNl3TAd4UWNGVGSj6HpcA_1_5"/>
      <w:bookmarkStart w:id="131" w:name="Tc_i7TFF8HWbkuhiuRmjujGmg_1_2"/>
      <w:bookmarkStart w:id="132" w:name="_562525e8_1c2e_4c88_924a_e8474009e1a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tbl>
      <w:tblPr>
        <w:tblW w:w="9229" w:type="dxa"/>
        <w:jc w:val="left"/>
        <w:tblInd w:w="0" w:type="dxa"/>
        <w:tblLayout w:type="fixed"/>
        <w:tblCellMar>
          <w:top w:w="0" w:type="dxa"/>
          <w:left w:w="0" w:type="dxa"/>
          <w:bottom w:w="0" w:type="dxa"/>
          <w:right w:w="0" w:type="dxa"/>
        </w:tblCellMar>
      </w:tblPr>
      <w:tblGrid>
        <w:gridCol w:w="6436"/>
        <w:gridCol w:w="346"/>
        <w:gridCol w:w="196"/>
        <w:gridCol w:w="811"/>
        <w:gridCol w:w="109"/>
        <w:gridCol w:w="222"/>
        <w:gridCol w:w="918"/>
        <w:gridCol w:w="191"/>
      </w:tblGrid>
      <w:tr>
        <w:trPr/>
        <w:tc>
          <w:tcPr>
            <w:tcW w:w="6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086860" cy="175260"/>
                      <wp:effectExtent l="0" t="0" r="0" b="0"/>
                      <wp:wrapNone/>
                      <wp:docPr id="3" name="Frame3"/>
                      <a:graphic xmlns:a="http://schemas.openxmlformats.org/drawingml/2006/main">
                        <a:graphicData uri="http://schemas.microsoft.com/office/word/2010/wordprocessingShape">
                          <wps:wsp>
                            <wps:cNvSpPr txBox="1"/>
                            <wps:spPr>
                              <a:xfrm>
                                <a:off x="0" y="0"/>
                                <a:ext cx="408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0970" cy="175260"/>
                      <wp:effectExtent l="0" t="0" r="0" b="0"/>
                      <wp:wrapNone/>
                      <wp:docPr id="8" name="Frame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82930" cy="175260"/>
                      <wp:effectExtent l="0" t="0" r="0" b="0"/>
                      <wp:wrapNone/>
                      <wp:docPr id="9" name="Frame9"/>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1285" cy="175260"/>
                      <wp:effectExtent l="0" t="0" r="0" b="0"/>
                      <wp:wrapNone/>
                      <wp:docPr id="10" name="Frame1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109"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lineRule="auto" w:line="285"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1,374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4,907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Accounts receivable, net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19,440</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22" w:type="dxa"/>
            <w:tcBorders/>
            <w:shd w:fill="CCEEFF" w:val="clear"/>
            <w:vAlign w:val="center"/>
          </w:tcPr>
          <w:p>
            <w:pPr>
              <w:pStyle w:val="TableContents"/>
              <w:bidi w:val="0"/>
              <w:spacing w:lineRule="auto" w:line="285" w:before="0" w:after="0"/>
              <w:ind w:left="0" w:right="0" w:hanging="0"/>
              <w:jc w:val="right"/>
              <w:rPr/>
            </w:pPr>
            <w:r>
              <w:rPr/>
              <w:t> </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9,389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6,667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7,169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27,851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21,835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253,620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254,017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Less accumulated depreciation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(220,373)</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(223,242)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33,247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30,775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lease right-of-use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2,939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Intangibles,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64,396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56,010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9,578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 </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Payroll costs and other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1,474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1,361</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6,370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7,477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maturities of notes payable and finance leases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7,319</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6,232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maturities of 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27,475</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26,837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Long-term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 </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Notes payable and finance leases, net of current maturities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11,324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maturities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1,848</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2,024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41,066</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40,202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Preferred stock-par value $1.00 per share; 4,000,000 shares authorized, none outstanding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918"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Common stock-par value $0.01 per share; 35,000,000 shares authorized,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31,052,840 shares issued and outstanding at March 31,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and December 31, 2025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157,201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157,154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(131,899)</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(139,560)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(2,283)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(2,097)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23,330</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15,808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64,396</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56,010</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240" w:after="240"/>
        <w:ind w:left="0" w:right="0" w:hanging="0"/>
        <w:jc w:val="center"/>
        <w:rPr>
          <w:rFonts w:ascii="Times New Roman;Times;serif" w:hAnsi="Times New Roman;Times;serif"/>
          <w:i/>
          <w:sz w:val="18"/>
        </w:rPr>
      </w:pPr>
      <w:r>
        <w:rPr>
          <w:rFonts w:ascii="Times New Roman;Times;serif" w:hAnsi="Times New Roman;Times;serif"/>
          <w:i/>
          <w:sz w:val="18"/>
        </w:rPr>
        <w:t>See accompanying notes to the condensed consolidated financial statements (unaudited).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pPr>
      <w:r>
        <w:rPr/>
        <w:t>​</w:t>
      </w:r>
    </w:p>
    <w:p>
      <w:pPr>
        <w:pStyle w:val="TextBody"/>
        <w:bidi w:val="0"/>
        <w:spacing w:lineRule="auto" w:line="314" w:before="0" w:after="0"/>
        <w:ind w:left="0" w:right="0" w:hanging="0"/>
        <w:jc w:val="center"/>
        <w:rPr>
          <w:rFonts w:ascii="Times New Roman;Times;serif" w:hAnsi="Times New Roman;Times;serif"/>
          <w:b/>
          <w:sz w:val="18"/>
        </w:rPr>
      </w:pPr>
      <w:bookmarkStart w:id="133" w:name="_ade74b4a_877a_4f00_9019_5a554e5d6e22"/>
      <w:bookmarkEnd w:id="133"/>
      <w:r>
        <w:rPr>
          <w:rFonts w:ascii="Times New Roman;Times;serif" w:hAnsi="Times New Roman;Times;serif"/>
          <w:b/>
          <w:sz w:val="18"/>
        </w:rPr>
        <w:t>DAWSON GEOPHYSICAL COMPANY</w:t>
      </w:r>
    </w:p>
    <w:p>
      <w:pPr>
        <w:pStyle w:val="TextBody"/>
        <w:bidi w:val="0"/>
        <w:spacing w:lineRule="auto" w:line="285" w:before="0" w:after="0"/>
        <w:ind w:left="0" w:right="0" w:hanging="0"/>
        <w:jc w:val="center"/>
        <w:rPr>
          <w:rFonts w:ascii="Times New Roman;Times;serif" w:hAnsi="Times New Roman;Times;serif"/>
          <w:b/>
          <w:sz w:val="18"/>
        </w:rPr>
      </w:pPr>
      <w:bookmarkStart w:id="134" w:name="COMPREHENSIVELOSS_871319"/>
      <w:bookmarkEnd w:id="134"/>
      <w:r>
        <w:rPr>
          <w:rFonts w:ascii="Times New Roman;Times;serif" w:hAnsi="Times New Roman;Times;serif"/>
          <w:b/>
          <w:sz w:val="18"/>
        </w:rPr>
        <w:t>CONDENSED CONSOLIDATED STATEMENTS OF OPERATIONS AND COMPREHENSIVE INCOME</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(unaudited and amounts in thousands, except share and per share data)</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35" w:name="Tc_xji1IlQGAU-k4RN7sFhi9A_40_0"/>
      <w:bookmarkStart w:id="136" w:name="Tc_9LAIld_yhkCLGsNrPOAyLQ_38_0"/>
      <w:bookmarkStart w:id="137" w:name="Tc__yINEKZcnkeaIu9lRirO6w_36_5"/>
      <w:bookmarkStart w:id="138" w:name="Tc_Zwa0jv0xmUKnhqVZ4rOTNA_36_2"/>
      <w:bookmarkStart w:id="139" w:name="Tc_rLmtX_FVb0qLN-MGHV342g_36_0"/>
      <w:bookmarkStart w:id="140" w:name="Tc_IvQim4tnf0OBXkmPGsBAWg_34_5"/>
      <w:bookmarkStart w:id="141" w:name="Tc_kHK5BZH-pku0bunuC0vbKQ_34_2"/>
      <w:bookmarkStart w:id="142" w:name="Tc_LU-K6DTYDEenhQgVKtyCuQ_34_0"/>
      <w:bookmarkStart w:id="143" w:name="Tc_d3ZWXE7CZEelrnDfhGxfpA_32_5"/>
      <w:bookmarkStart w:id="144" w:name="Tc_raVn9NY0nUySQ_U74O55aQ_32_2"/>
      <w:bookmarkStart w:id="145" w:name="Tc_XHpU8aKPrUmR6BfJ_JrrQQ_32_0"/>
      <w:bookmarkStart w:id="146" w:name="Tc_0XZmnChsDEaKxAKVTO5Sdw_30_0"/>
      <w:bookmarkStart w:id="147" w:name="Tc_G2JzQ8Psl0ypm6jG5ggf4A_29_0"/>
      <w:bookmarkStart w:id="148" w:name="Tc_SB-xPK99BEm5tNMtwY--Ng_27_0"/>
      <w:bookmarkStart w:id="149" w:name="Tc_IMl-avkZ8EawyH1PWcynTg_25_0"/>
      <w:bookmarkStart w:id="150" w:name="Tc_hBTaP3mIfkSCxaYjjgXslg_23_0"/>
      <w:bookmarkStart w:id="151" w:name="Tc_Qp2qR55WUkCOP50P0-vzPw_21_0"/>
      <w:bookmarkStart w:id="152" w:name="Tc_Y_P3kDCeX0OSnlmtQqhV0w_20_0"/>
      <w:bookmarkStart w:id="153" w:name="Tc_Y4yvf6dqgU2sbvKypobl9A_19_0"/>
      <w:bookmarkStart w:id="154" w:name="Tc_Vx-UtkyGXUCsWb4SX2q-oQ_18_0"/>
      <w:bookmarkStart w:id="155" w:name="Tc_-jRSsNup2k2ROwY9fYvmpQ_16_0"/>
      <w:bookmarkStart w:id="156" w:name="Tc_wSPND-E9U0OyH07ejdC_SQ_13_0"/>
      <w:bookmarkStart w:id="157" w:name="Tc_4_S20G8k9k-tpw5BFVmNyg_12_0"/>
      <w:bookmarkStart w:id="158" w:name="Tc_W3EzTSEHMkeYVDJRkorDqg_11_0"/>
      <w:bookmarkStart w:id="159" w:name="Tc_swxh2CNCHUmfBbK_r4mImQ_10_0"/>
      <w:bookmarkStart w:id="160" w:name="Tc_F5KIX5ct2E61A--h2a60jQ_9_0"/>
      <w:bookmarkStart w:id="161" w:name="Tc_zf0LQrw5B0G-_gLajECjVw_8_0"/>
      <w:bookmarkStart w:id="162" w:name="Tc_WFQ-sfqlLUGaJQz5iqjGAw_7_0"/>
      <w:bookmarkStart w:id="163" w:name="Tc_O2FMyzxm-0mVld2d7PFvUg_5_0"/>
      <w:bookmarkStart w:id="164" w:name="Tc_vmFHhLUyoUWiQLD4He9pww_4_5"/>
      <w:bookmarkStart w:id="165" w:name="Tc_1DhuYkl2DkuTEfj6n1m8ow_4_2"/>
      <w:bookmarkStart w:id="166" w:name="Tc_D4ajEZqTX0u2GnimaZHblA_4_0"/>
      <w:bookmarkStart w:id="167" w:name="Tc__NhC6wjLs0SAuAkew9z5sg_3_0"/>
      <w:bookmarkStart w:id="168" w:name="Tc_8FYbufxax0OR76gAwLQHdw_2_5"/>
      <w:bookmarkStart w:id="169" w:name="Tc_vTYAlBRz7kuKar_LwZyYwA_2_2"/>
      <w:bookmarkStart w:id="170" w:name="Tc_QHsQpsZ8Kka8xws4voYBoQ_1_2"/>
      <w:bookmarkStart w:id="171" w:name="_cb445f2f_6857_4e59_88fd_57a1f12bc142"/>
      <w:bookmarkStart w:id="172" w:name="Tc_xji1IlQGAU-k4RN7sFhi9A_40_0"/>
      <w:bookmarkStart w:id="173" w:name="Tc_9LAIld_yhkCLGsNrPOAyLQ_38_0"/>
      <w:bookmarkStart w:id="174" w:name="Tc__yINEKZcnkeaIu9lRirO6w_36_5"/>
      <w:bookmarkStart w:id="175" w:name="Tc_Zwa0jv0xmUKnhqVZ4rOTNA_36_2"/>
      <w:bookmarkStart w:id="176" w:name="Tc_rLmtX_FVb0qLN-MGHV342g_36_0"/>
      <w:bookmarkStart w:id="177" w:name="Tc_IvQim4tnf0OBXkmPGsBAWg_34_5"/>
      <w:bookmarkStart w:id="178" w:name="Tc_kHK5BZH-pku0bunuC0vbKQ_34_2"/>
      <w:bookmarkStart w:id="179" w:name="Tc_LU-K6DTYDEenhQgVKtyCuQ_34_0"/>
      <w:bookmarkStart w:id="180" w:name="Tc_d3ZWXE7CZEelrnDfhGxfpA_32_5"/>
      <w:bookmarkStart w:id="181" w:name="Tc_raVn9NY0nUySQ_U74O55aQ_32_2"/>
      <w:bookmarkStart w:id="182" w:name="Tc_XHpU8aKPrUmR6BfJ_JrrQQ_32_0"/>
      <w:bookmarkStart w:id="183" w:name="Tc_0XZmnChsDEaKxAKVTO5Sdw_30_0"/>
      <w:bookmarkStart w:id="184" w:name="Tc_G2JzQ8Psl0ypm6jG5ggf4A_29_0"/>
      <w:bookmarkStart w:id="185" w:name="Tc_SB-xPK99BEm5tNMtwY--Ng_27_0"/>
      <w:bookmarkStart w:id="186" w:name="Tc_IMl-avkZ8EawyH1PWcynTg_25_0"/>
      <w:bookmarkStart w:id="187" w:name="Tc_hBTaP3mIfkSCxaYjjgXslg_23_0"/>
      <w:bookmarkStart w:id="188" w:name="Tc_Qp2qR55WUkCOP50P0-vzPw_21_0"/>
      <w:bookmarkStart w:id="189" w:name="Tc_Y_P3kDCeX0OSnlmtQqhV0w_20_0"/>
      <w:bookmarkStart w:id="190" w:name="Tc_Y4yvf6dqgU2sbvKypobl9A_19_0"/>
      <w:bookmarkStart w:id="191" w:name="Tc_Vx-UtkyGXUCsWb4SX2q-oQ_18_0"/>
      <w:bookmarkStart w:id="192" w:name="Tc_-jRSsNup2k2ROwY9fYvmpQ_16_0"/>
      <w:bookmarkStart w:id="193" w:name="Tc_wSPND-E9U0OyH07ejdC_SQ_13_0"/>
      <w:bookmarkStart w:id="194" w:name="Tc_4_S20G8k9k-tpw5BFVmNyg_12_0"/>
      <w:bookmarkStart w:id="195" w:name="Tc_W3EzTSEHMkeYVDJRkorDqg_11_0"/>
      <w:bookmarkStart w:id="196" w:name="Tc_swxh2CNCHUmfBbK_r4mImQ_10_0"/>
      <w:bookmarkStart w:id="197" w:name="Tc_F5KIX5ct2E61A--h2a60jQ_9_0"/>
      <w:bookmarkStart w:id="198" w:name="Tc_zf0LQrw5B0G-_gLajECjVw_8_0"/>
      <w:bookmarkStart w:id="199" w:name="Tc_WFQ-sfqlLUGaJQz5iqjGAw_7_0"/>
      <w:bookmarkStart w:id="200" w:name="Tc_O2FMyzxm-0mVld2d7PFvUg_5_0"/>
      <w:bookmarkStart w:id="201" w:name="Tc_vmFHhLUyoUWiQLD4He9pww_4_5"/>
      <w:bookmarkStart w:id="202" w:name="Tc_1DhuYkl2DkuTEfj6n1m8ow_4_2"/>
      <w:bookmarkStart w:id="203" w:name="Tc_D4ajEZqTX0u2GnimaZHblA_4_0"/>
      <w:bookmarkStart w:id="204" w:name="Tc__NhC6wjLs0SAuAkew9z5sg_3_0"/>
      <w:bookmarkStart w:id="205" w:name="Tc_8FYbufxax0OR76gAwLQHdw_2_5"/>
      <w:bookmarkStart w:id="206" w:name="Tc_vTYAlBRz7kuKar_LwZyYwA_2_2"/>
      <w:bookmarkStart w:id="207" w:name="Tc_QHsQpsZ8Kka8xws4voYBoQ_1_2"/>
      <w:bookmarkStart w:id="208" w:name="_cb445f2f_6857_4e59_88fd_57a1f12bc142"/>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tbl>
      <w:tblPr>
        <w:tblW w:w="9236" w:type="dxa"/>
        <w:jc w:val="left"/>
        <w:tblInd w:w="0" w:type="dxa"/>
        <w:tblLayout w:type="fixed"/>
        <w:tblCellMar>
          <w:top w:w="0" w:type="dxa"/>
          <w:left w:w="0" w:type="dxa"/>
          <w:bottom w:w="0" w:type="dxa"/>
          <w:right w:w="0" w:type="dxa"/>
        </w:tblCellMar>
      </w:tblPr>
      <w:tblGrid>
        <w:gridCol w:w="6076"/>
        <w:gridCol w:w="346"/>
        <w:gridCol w:w="200"/>
        <w:gridCol w:w="935"/>
        <w:gridCol w:w="353"/>
        <w:gridCol w:w="200"/>
        <w:gridCol w:w="935"/>
        <w:gridCol w:w="191"/>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858260" cy="175260"/>
                      <wp:effectExtent l="0" t="0" r="0" b="0"/>
                      <wp:wrapNone/>
                      <wp:docPr id="11" name="Frame11"/>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7000" cy="175260"/>
                      <wp:effectExtent l="0" t="0" r="0" b="0"/>
                      <wp:wrapNone/>
                      <wp:docPr id="13" name="Frame13"/>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3725" cy="175260"/>
                      <wp:effectExtent l="0" t="0" r="0" b="0"/>
                      <wp:wrapNone/>
                      <wp:docPr id="14" name="Frame14"/>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24155" cy="175260"/>
                      <wp:effectExtent l="0" t="0" r="0" b="0"/>
                      <wp:wrapNone/>
                      <wp:docPr id="15" name="Frame1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7000" cy="175260"/>
                      <wp:effectExtent l="0" t="0" r="0" b="0"/>
                      <wp:wrapNone/>
                      <wp:docPr id="16" name="Frame1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93725" cy="175260"/>
                      <wp:effectExtent l="0" t="0" r="0" b="0"/>
                      <wp:wrapNone/>
                      <wp:docPr id="17" name="Frame17"/>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1285" cy="175260"/>
                      <wp:effectExtent l="0" t="0" r="0" b="0"/>
                      <wp:wrapNone/>
                      <wp:docPr id="18" name="Frame1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2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53" w:type="dxa"/>
            <w:tcBorders/>
            <w:vAlign w:val="center"/>
          </w:tcPr>
          <w:p>
            <w:pPr>
              <w:pStyle w:val="TableContents"/>
              <w:bidi w:val="0"/>
              <w:spacing w:lineRule="auto" w:line="285" w:before="0" w:after="0"/>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32,508</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15,259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4,191</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36,699</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16,078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19,430</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10,960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4,191</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 </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23,621</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 </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11,779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 </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2,941</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 </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1,997</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1,271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28,559</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15,044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from operations</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 </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8,140</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 </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1,034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 </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(501)</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 </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income,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before income tax</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 </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7,671</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 </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7,661</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unrealized loss on foreign exchange rate translation</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Comprehensive income</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7,475</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962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Basic income per share of common stock</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0.25</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Diluted income per share of common stock</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0.25</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31,052,840</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30,983,445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 - assuming dilution</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31,107,820</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31,035,189</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center"/>
        <w:rPr/>
      </w:pPr>
      <w:r>
        <w:rPr/>
        <w:t>​</w:t>
      </w:r>
    </w:p>
    <w:p>
      <w:pPr>
        <w:pStyle w:val="TextBody"/>
        <w:bidi w:val="0"/>
        <w:spacing w:lineRule="auto" w:line="285" w:before="240" w:after="240"/>
        <w:ind w:left="0" w:right="0" w:hanging="0"/>
        <w:jc w:val="center"/>
        <w:rPr>
          <w:rFonts w:ascii="Times New Roman;Times;serif" w:hAnsi="Times New Roman;Times;serif"/>
          <w:i/>
          <w:sz w:val="18"/>
        </w:rPr>
      </w:pPr>
      <w:r>
        <w:rPr>
          <w:rFonts w:ascii="Times New Roman;Times;serif" w:hAnsi="Times New Roman;Times;serif"/>
          <w:i/>
          <w:sz w:val="18"/>
        </w:rPr>
        <w:t>See accompanying notes to the condensed consolidated financial statements (unaudited).</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18"/>
        </w:rPr>
      </w:pPr>
      <w:bookmarkStart w:id="209" w:name="_2ded2b3d_411e_426b_944b_4c35fd3980b9"/>
      <w:bookmarkEnd w:id="209"/>
      <w:r>
        <w:rPr>
          <w:rFonts w:ascii="Times New Roman;Times;serif" w:hAnsi="Times New Roman;Times;serif"/>
          <w:b/>
          <w:sz w:val="18"/>
        </w:rPr>
        <w:t>DAWSON GEOPHYSICAL COMPANY</w:t>
      </w:r>
    </w:p>
    <w:p>
      <w:pPr>
        <w:pStyle w:val="TextBody"/>
        <w:bidi w:val="0"/>
        <w:spacing w:lineRule="auto" w:line="285" w:before="0" w:after="0"/>
        <w:ind w:left="0" w:right="0" w:hanging="0"/>
        <w:jc w:val="center"/>
        <w:rPr>
          <w:rFonts w:ascii="Times New Roman;Times;serif" w:hAnsi="Times New Roman;Times;serif"/>
          <w:b/>
          <w:sz w:val="18"/>
        </w:rPr>
      </w:pPr>
      <w:bookmarkStart w:id="210" w:name="CASHFLOWS_208457"/>
      <w:bookmarkEnd w:id="210"/>
      <w:r>
        <w:rPr>
          <w:rFonts w:ascii="Times New Roman;Times;serif" w:hAnsi="Times New Roman;Times;serif"/>
          <w:b/>
          <w:sz w:val="18"/>
        </w:rPr>
        <w:t>CONDENSED CONSOLIDATED STATEMENTS OF CASH FLOWS</w:t>
      </w:r>
    </w:p>
    <w:p>
      <w:pPr>
        <w:pStyle w:val="TextBody"/>
        <w:bidi w:val="0"/>
        <w:spacing w:lineRule="auto" w:line="285" w:before="0" w:after="120"/>
        <w:ind w:left="0" w:right="0" w:hanging="0"/>
        <w:jc w:val="center"/>
        <w:rPr>
          <w:rFonts w:ascii="Times New Roman;Times;serif" w:hAnsi="Times New Roman;Times;serif"/>
          <w:b/>
          <w:sz w:val="18"/>
        </w:rPr>
      </w:pPr>
      <w:r>
        <w:rPr>
          <w:rFonts w:ascii="Times New Roman;Times;serif" w:hAnsi="Times New Roman;Times;serif"/>
          <w:b/>
          <w:sz w:val="18"/>
        </w:rPr>
        <w:t>(unaudited and amounts in thousands)</w:t>
      </w:r>
    </w:p>
    <w:p>
      <w:pPr>
        <w:pStyle w:val="Normal"/>
        <w:bidi w:val="0"/>
        <w:spacing w:before="0" w:after="0"/>
        <w:jc w:val="left"/>
        <w:rPr>
          <w:sz w:val="4"/>
          <w:szCs w:val="4"/>
        </w:rPr>
      </w:pPr>
      <w:r>
        <w:rPr>
          <w:sz w:val="4"/>
          <w:szCs w:val="4"/>
        </w:rPr>
      </w:r>
      <w:bookmarkStart w:id="211" w:name="Tc_CrmkbjD_A0ijFruoJHIeZw_52_5"/>
      <w:bookmarkStart w:id="212" w:name="Tc_tRGYq34i8kuib859_LtOBQ_52_2"/>
      <w:bookmarkStart w:id="213" w:name="Tc_-0rp4TArskKkeSlEwXnDrA_52_0"/>
      <w:bookmarkStart w:id="214" w:name="Tc_UGm-_zhum06NqDJ9NsJweQ_51_6"/>
      <w:bookmarkStart w:id="215" w:name="Tc_nOABapTrC0CrM_qKJmcpTg_51_5"/>
      <w:bookmarkStart w:id="216" w:name="Tc_I6DMSQKU9kCVmSGoXxtDGA_51_2"/>
      <w:bookmarkStart w:id="217" w:name="Tc__mpTK8dFKkWjPTOtI9YpcQ_51_0"/>
      <w:bookmarkStart w:id="218" w:name="Tc_Nphiu8iY6kehtC8P61_wbQ_50_6"/>
      <w:bookmarkStart w:id="219" w:name="Tc__mnPUnCE3Ean2M25zJ3pbQ_50_5"/>
      <w:bookmarkStart w:id="220" w:name="Tc_0jfJ9svc00OH0tk_1rXG8A_50_2"/>
      <w:bookmarkStart w:id="221" w:name="Tc_cQIXtZ-jyUSqNombl-0h1Q_50_0"/>
      <w:bookmarkStart w:id="222" w:name="Tc_zKr6JDaYpkyJl2GPFAS66Q_49_6"/>
      <w:bookmarkStart w:id="223" w:name="Tc_nCJhJQo0bkuZvxFgdqgYng_49_5"/>
      <w:bookmarkStart w:id="224" w:name="Tc_n-2M3DlNy0qsLHHAQ0V6iQ_49_2"/>
      <w:bookmarkStart w:id="225" w:name="Tc_ALuFI1e-aUCS15DNtuatYQ_49_0"/>
      <w:bookmarkStart w:id="226" w:name="Tc_Qg6m3tvYuUGvq0Cvfns5Sg_48_0"/>
      <w:bookmarkStart w:id="227" w:name="Tc_bBHjj7Z85kapt0dWheu1wg_46_5"/>
      <w:bookmarkStart w:id="228" w:name="Tc_dSR2RZL9Dk6Jaat8PYL_LQ_46_2"/>
      <w:bookmarkStart w:id="229" w:name="Tc__uEbED2R1EOfKdKzlaJXrg_46_0"/>
      <w:bookmarkStart w:id="230" w:name="Tc_kpmQ3W5KOUaVmceuIURiMA_45_0"/>
      <w:bookmarkStart w:id="231" w:name="Tc_LOeKtJTATkyrVlsCWoPRMA_43_5"/>
      <w:bookmarkStart w:id="232" w:name="Tc_GSq-gLC3EEmnnmKg7sgvDA_43_2"/>
      <w:bookmarkStart w:id="233" w:name="Tc_ubTXvyr__0iKuC32v3_0zQ_43_0"/>
      <w:bookmarkStart w:id="234" w:name="Tc_rHdwUy7RTkqH6gTgyeK-Bw_41_0"/>
      <w:bookmarkStart w:id="235" w:name="Tc_akEu4slxB062DUEMlxKxPw_39_0"/>
      <w:bookmarkStart w:id="236" w:name="Tc_Tu2eyJwurEOMoPcWXp3PHw_37_0"/>
      <w:bookmarkStart w:id="237" w:name="Tc_peDe98pm0Ua3oYwN3dvvEw_35_0"/>
      <w:bookmarkStart w:id="238" w:name="Tc_QtMILl3hbUeMqZHSUeBgbA_33_6"/>
      <w:bookmarkStart w:id="239" w:name="Tc_OJmLF7I0JUm9orEW4dCuIQ_33_0"/>
      <w:bookmarkStart w:id="240" w:name="Tc_LATP2d-zi0-Z7hCXZWuVDw_32_6"/>
      <w:bookmarkStart w:id="241" w:name="Tc__rW6Fc-FXECytW8SRxlr6Q_32_0"/>
      <w:bookmarkStart w:id="242" w:name="Tc_t7cih7-HuUWyacJbROfmOA_31_0"/>
      <w:bookmarkStart w:id="243" w:name="Tc_9AnnDDziUUmdn5S1XBn6qQ_30_0"/>
      <w:bookmarkStart w:id="244" w:name="Tc_NaO6I2MNFUSArSppfqlPTA_29_0"/>
      <w:bookmarkStart w:id="245" w:name="Tc_HmDDROY3rk2mRZ0Ui16M2g_27_0"/>
      <w:bookmarkStart w:id="246" w:name="Tc_qsndLBsb-UOZkLV5zJ5LWw_25_0"/>
      <w:bookmarkStart w:id="247" w:name="Tc_TLwY0NA_PE-eFGMTNcaqew_24_6"/>
      <w:bookmarkStart w:id="248" w:name="Tc_ZE0a_XIIVkaXVoVgHsCjwg_24_0"/>
      <w:bookmarkStart w:id="249" w:name="Tc_IpJp-Nlwkk-Xx0MZVIwpkw_23_0"/>
      <w:bookmarkStart w:id="250" w:name="Tc_emEhuxYWTUqIRjrYedGGRg_21_0"/>
      <w:bookmarkStart w:id="251" w:name="Tc_Ip9mbqk5X0my9vcQD1JFLw_19_0"/>
      <w:bookmarkStart w:id="252" w:name="Tc_v0jzy3_LVUiiMTJE1b4V1g_18_0"/>
      <w:bookmarkStart w:id="253" w:name="Tc_oHct04Lp2Uy-KOsE4n1l6w_17_0"/>
      <w:bookmarkStart w:id="254" w:name="Tc_xuJvvtXliEyPtwHPwSi5UQ_16_0"/>
      <w:bookmarkStart w:id="255" w:name="Tc_DbI7yMhhv0KHfWwSoOlKHw_15_0"/>
      <w:bookmarkStart w:id="256" w:name="Tc_3X_7Pj0lJkGBd-n3Bjo2Qw_14_0"/>
      <w:bookmarkStart w:id="257" w:name="Tc_B8Hqq_Gn2kKlN0cdNIdqNg_13_0"/>
      <w:bookmarkStart w:id="258" w:name="Tc_1-_0CJ8Rr0mXlg-JrcQFYg_12_0"/>
      <w:bookmarkStart w:id="259" w:name="Tc_jv8cTiPZC0SZtc7Srg8ZZw_11_0"/>
      <w:bookmarkStart w:id="260" w:name="Tc_LhxTzk7g80GcVFEoor9Bbw_10_3"/>
      <w:bookmarkStart w:id="261" w:name="Tc_CXzECUtvfEOSTnLj8FalRQ_10_0"/>
      <w:bookmarkStart w:id="262" w:name="Tc_Ke2qNcEot0CjO5_gJwDXaA_9_0"/>
      <w:bookmarkStart w:id="263" w:name="Tc_zzhsAlljJkiFzg5WPPMvJg_8_0"/>
      <w:bookmarkStart w:id="264" w:name="Tc_FwUfqvG6DkGMyjyTxqMbSg_7_0"/>
      <w:bookmarkStart w:id="265" w:name="Tc_zC1hwUgGsUGncM-1CqqZMA_6_0"/>
      <w:bookmarkStart w:id="266" w:name="Tc_1xJ5UKYAzk6yjwrbAx52Kg_4_5"/>
      <w:bookmarkStart w:id="267" w:name="Tc_Xmi6OeNin0STC-gQS44MgQ_4_2"/>
      <w:bookmarkStart w:id="268" w:name="Tc_FD_yvD3eBk-5c7gehfe1rw_4_0"/>
      <w:bookmarkStart w:id="269" w:name="Tc_OItDoIy1wEqi__bJe7i1wQ_3_0"/>
      <w:bookmarkStart w:id="270" w:name="Tc_hdTp5TcfoESWms-Bttjg8Q_2_5"/>
      <w:bookmarkStart w:id="271" w:name="Tc_YG_9z0kfLkS8h1i9BJiLZA_2_2"/>
      <w:bookmarkStart w:id="272" w:name="Tc_WpE6n0bwiUuwWKls9cYS6A_1_2"/>
      <w:bookmarkStart w:id="273" w:name="_78e16cce_20f5_46b8_991e_ad7843ff4ad2"/>
      <w:bookmarkStart w:id="274" w:name="Tc_CrmkbjD_A0ijFruoJHIeZw_52_5"/>
      <w:bookmarkStart w:id="275" w:name="Tc_tRGYq34i8kuib859_LtOBQ_52_2"/>
      <w:bookmarkStart w:id="276" w:name="Tc_-0rp4TArskKkeSlEwXnDrA_52_0"/>
      <w:bookmarkStart w:id="277" w:name="Tc_UGm-_zhum06NqDJ9NsJweQ_51_6"/>
      <w:bookmarkStart w:id="278" w:name="Tc_nOABapTrC0CrM_qKJmcpTg_51_5"/>
      <w:bookmarkStart w:id="279" w:name="Tc_I6DMSQKU9kCVmSGoXxtDGA_51_2"/>
      <w:bookmarkStart w:id="280" w:name="Tc__mpTK8dFKkWjPTOtI9YpcQ_51_0"/>
      <w:bookmarkStart w:id="281" w:name="Tc_Nphiu8iY6kehtC8P61_wbQ_50_6"/>
      <w:bookmarkStart w:id="282" w:name="Tc__mnPUnCE3Ean2M25zJ3pbQ_50_5"/>
      <w:bookmarkStart w:id="283" w:name="Tc_0jfJ9svc00OH0tk_1rXG8A_50_2"/>
      <w:bookmarkStart w:id="284" w:name="Tc_cQIXtZ-jyUSqNombl-0h1Q_50_0"/>
      <w:bookmarkStart w:id="285" w:name="Tc_zKr6JDaYpkyJl2GPFAS66Q_49_6"/>
      <w:bookmarkStart w:id="286" w:name="Tc_nCJhJQo0bkuZvxFgdqgYng_49_5"/>
      <w:bookmarkStart w:id="287" w:name="Tc_n-2M3DlNy0qsLHHAQ0V6iQ_49_2"/>
      <w:bookmarkStart w:id="288" w:name="Tc_ALuFI1e-aUCS15DNtuatYQ_49_0"/>
      <w:bookmarkStart w:id="289" w:name="Tc_Qg6m3tvYuUGvq0Cvfns5Sg_48_0"/>
      <w:bookmarkStart w:id="290" w:name="Tc_bBHjj7Z85kapt0dWheu1wg_46_5"/>
      <w:bookmarkStart w:id="291" w:name="Tc_dSR2RZL9Dk6Jaat8PYL_LQ_46_2"/>
      <w:bookmarkStart w:id="292" w:name="Tc__uEbED2R1EOfKdKzlaJXrg_46_0"/>
      <w:bookmarkStart w:id="293" w:name="Tc_kpmQ3W5KOUaVmceuIURiMA_45_0"/>
      <w:bookmarkStart w:id="294" w:name="Tc_LOeKtJTATkyrVlsCWoPRMA_43_5"/>
      <w:bookmarkStart w:id="295" w:name="Tc_GSq-gLC3EEmnnmKg7sgvDA_43_2"/>
      <w:bookmarkStart w:id="296" w:name="Tc_ubTXvyr__0iKuC32v3_0zQ_43_0"/>
      <w:bookmarkStart w:id="297" w:name="Tc_rHdwUy7RTkqH6gTgyeK-Bw_41_0"/>
      <w:bookmarkStart w:id="298" w:name="Tc_akEu4slxB062DUEMlxKxPw_39_0"/>
      <w:bookmarkStart w:id="299" w:name="Tc_Tu2eyJwurEOMoPcWXp3PHw_37_0"/>
      <w:bookmarkStart w:id="300" w:name="Tc_peDe98pm0Ua3oYwN3dvvEw_35_0"/>
      <w:bookmarkStart w:id="301" w:name="Tc_QtMILl3hbUeMqZHSUeBgbA_33_6"/>
      <w:bookmarkStart w:id="302" w:name="Tc_OJmLF7I0JUm9orEW4dCuIQ_33_0"/>
      <w:bookmarkStart w:id="303" w:name="Tc_LATP2d-zi0-Z7hCXZWuVDw_32_6"/>
      <w:bookmarkStart w:id="304" w:name="Tc__rW6Fc-FXECytW8SRxlr6Q_32_0"/>
      <w:bookmarkStart w:id="305" w:name="Tc_t7cih7-HuUWyacJbROfmOA_31_0"/>
      <w:bookmarkStart w:id="306" w:name="Tc_9AnnDDziUUmdn5S1XBn6qQ_30_0"/>
      <w:bookmarkStart w:id="307" w:name="Tc_NaO6I2MNFUSArSppfqlPTA_29_0"/>
      <w:bookmarkStart w:id="308" w:name="Tc_HmDDROY3rk2mRZ0Ui16M2g_27_0"/>
      <w:bookmarkStart w:id="309" w:name="Tc_qsndLBsb-UOZkLV5zJ5LWw_25_0"/>
      <w:bookmarkStart w:id="310" w:name="Tc_TLwY0NA_PE-eFGMTNcaqew_24_6"/>
      <w:bookmarkStart w:id="311" w:name="Tc_ZE0a_XIIVkaXVoVgHsCjwg_24_0"/>
      <w:bookmarkStart w:id="312" w:name="Tc_IpJp-Nlwkk-Xx0MZVIwpkw_23_0"/>
      <w:bookmarkStart w:id="313" w:name="Tc_emEhuxYWTUqIRjrYedGGRg_21_0"/>
      <w:bookmarkStart w:id="314" w:name="Tc_Ip9mbqk5X0my9vcQD1JFLw_19_0"/>
      <w:bookmarkStart w:id="315" w:name="Tc_v0jzy3_LVUiiMTJE1b4V1g_18_0"/>
      <w:bookmarkStart w:id="316" w:name="Tc_oHct04Lp2Uy-KOsE4n1l6w_17_0"/>
      <w:bookmarkStart w:id="317" w:name="Tc_xuJvvtXliEyPtwHPwSi5UQ_16_0"/>
      <w:bookmarkStart w:id="318" w:name="Tc_DbI7yMhhv0KHfWwSoOlKHw_15_0"/>
      <w:bookmarkStart w:id="319" w:name="Tc_3X_7Pj0lJkGBd-n3Bjo2Qw_14_0"/>
      <w:bookmarkStart w:id="320" w:name="Tc_B8Hqq_Gn2kKlN0cdNIdqNg_13_0"/>
      <w:bookmarkStart w:id="321" w:name="Tc_1-_0CJ8Rr0mXlg-JrcQFYg_12_0"/>
      <w:bookmarkStart w:id="322" w:name="Tc_jv8cTiPZC0SZtc7Srg8ZZw_11_0"/>
      <w:bookmarkStart w:id="323" w:name="Tc_LhxTzk7g80GcVFEoor9Bbw_10_3"/>
      <w:bookmarkStart w:id="324" w:name="Tc_CXzECUtvfEOSTnLj8FalRQ_10_0"/>
      <w:bookmarkStart w:id="325" w:name="Tc_Ke2qNcEot0CjO5_gJwDXaA_9_0"/>
      <w:bookmarkStart w:id="326" w:name="Tc_zzhsAlljJkiFzg5WPPMvJg_8_0"/>
      <w:bookmarkStart w:id="327" w:name="Tc_FwUfqvG6DkGMyjyTxqMbSg_7_0"/>
      <w:bookmarkStart w:id="328" w:name="Tc_zC1hwUgGsUGncM-1CqqZMA_6_0"/>
      <w:bookmarkStart w:id="329" w:name="Tc_1xJ5UKYAzk6yjwrbAx52Kg_4_5"/>
      <w:bookmarkStart w:id="330" w:name="Tc_Xmi6OeNin0STC-gQS44MgQ_4_2"/>
      <w:bookmarkStart w:id="331" w:name="Tc_FD_yvD3eBk-5c7gehfe1rw_4_0"/>
      <w:bookmarkStart w:id="332" w:name="Tc_OItDoIy1wEqi__bJe7i1wQ_3_0"/>
      <w:bookmarkStart w:id="333" w:name="Tc_hdTp5TcfoESWms-Bttjg8Q_2_5"/>
      <w:bookmarkStart w:id="334" w:name="Tc_YG_9z0kfLkS8h1i9BJiLZA_2_2"/>
      <w:bookmarkStart w:id="335" w:name="Tc_WpE6n0bwiUuwWKls9cYS6A_1_2"/>
      <w:bookmarkStart w:id="336" w:name="_78e16cce_20f5_46b8_991e_ad7843ff4ad2"/>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tbl>
      <w:tblPr>
        <w:tblW w:w="9626" w:type="dxa"/>
        <w:jc w:val="left"/>
        <w:tblInd w:w="0" w:type="dxa"/>
        <w:tblLayout w:type="fixed"/>
        <w:tblCellMar>
          <w:top w:w="0" w:type="dxa"/>
          <w:left w:w="0" w:type="dxa"/>
          <w:bottom w:w="0" w:type="dxa"/>
          <w:right w:w="0" w:type="dxa"/>
        </w:tblCellMar>
      </w:tblPr>
      <w:tblGrid>
        <w:gridCol w:w="6466"/>
        <w:gridCol w:w="346"/>
        <w:gridCol w:w="246"/>
        <w:gridCol w:w="905"/>
        <w:gridCol w:w="434"/>
        <w:gridCol w:w="246"/>
        <w:gridCol w:w="792"/>
        <w:gridCol w:w="191"/>
      </w:tblGrid>
      <w:tr>
        <w:trPr/>
        <w:tc>
          <w:tcPr>
            <w:tcW w:w="6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105910" cy="175260"/>
                      <wp:effectExtent l="0" t="0" r="0" b="0"/>
                      <wp:wrapNone/>
                      <wp:docPr id="19" name="Frame19"/>
                      <a:graphic xmlns:a="http://schemas.openxmlformats.org/drawingml/2006/main">
                        <a:graphicData uri="http://schemas.microsoft.com/office/word/2010/wordprocessingShape">
                          <wps:wsp>
                            <wps:cNvSpPr txBox="1"/>
                            <wps:spPr>
                              <a:xfrm>
                                <a:off x="0" y="0"/>
                                <a:ext cx="4105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56210" cy="175260"/>
                      <wp:effectExtent l="0" t="0" r="0" b="0"/>
                      <wp:wrapNone/>
                      <wp:docPr id="21" name="Frame21"/>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74675" cy="175260"/>
                      <wp:effectExtent l="0" t="0" r="0" b="0"/>
                      <wp:wrapNone/>
                      <wp:docPr id="22" name="Frame22"/>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75590" cy="175260"/>
                      <wp:effectExtent l="0" t="0" r="0" b="0"/>
                      <wp:wrapNone/>
                      <wp:docPr id="23" name="Frame23"/>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56210" cy="175260"/>
                      <wp:effectExtent l="0" t="0" r="0" b="0"/>
                      <wp:wrapNone/>
                      <wp:docPr id="24" name="Frame2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02920" cy="175260"/>
                      <wp:effectExtent l="0" t="0" r="0" b="0"/>
                      <wp:wrapNone/>
                      <wp:docPr id="25" name="Frame25"/>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1285" cy="175260"/>
                      <wp:effectExtent l="0" t="0" r="0" b="0"/>
                      <wp:wrapNone/>
                      <wp:docPr id="26" name="Frame2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2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34" w:type="dxa"/>
            <w:tcBorders/>
            <w:vAlign w:val="center"/>
          </w:tcPr>
          <w:p>
            <w:pPr>
              <w:pStyle w:val="TableContents"/>
              <w:bidi w:val="0"/>
              <w:spacing w:lineRule="auto" w:line="285" w:before="0" w:after="0"/>
              <w:ind w:left="0" w:right="0" w:hanging="0"/>
              <w:jc w:val="left"/>
              <w:rPr/>
            </w:pPr>
            <w:r>
              <w:rPr/>
              <w:t>  ​ ​ ​</w:t>
            </w:r>
          </w:p>
        </w:tc>
        <w:tc>
          <w:tcPr>
            <w:tcW w:w="103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7,661</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(used in) provided by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lef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1,997</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 </w:t>
            </w:r>
          </w:p>
        </w:tc>
        <w:tc>
          <w:tcPr>
            <w:tcW w:w="7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1,271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Non-cash operating lease cost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Non-cash compensation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 </w:t>
            </w:r>
          </w:p>
        </w:tc>
        <w:tc>
          <w:tcPr>
            <w:tcW w:w="9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 </w:t>
            </w:r>
          </w:p>
        </w:tc>
        <w:tc>
          <w:tcPr>
            <w:tcW w:w="7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Bad debt expense</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Gain on disposal of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 </w:t>
            </w:r>
          </w:p>
        </w:tc>
        <w:tc>
          <w:tcPr>
            <w:tcW w:w="9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 </w:t>
            </w:r>
          </w:p>
        </w:tc>
        <w:tc>
          <w:tcPr>
            <w:tcW w:w="7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 </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 </w:t>
            </w:r>
          </w:p>
        </w:tc>
        <w:tc>
          <w:tcPr>
            <w:tcW w:w="79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Change in operating assets and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Increase in accounts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 </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(10,207)</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 </w:t>
            </w:r>
          </w:p>
        </w:tc>
        <w:tc>
          <w:tcPr>
            <w:tcW w:w="79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(1,259)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 prepaid expenses and other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 </w:t>
            </w:r>
          </w:p>
        </w:tc>
        <w:tc>
          <w:tcPr>
            <w:tcW w:w="9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640</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 </w:t>
            </w:r>
          </w:p>
        </w:tc>
        <w:tc>
          <w:tcPr>
            <w:tcW w:w="7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increase in 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 </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(437)</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516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Increase (decrease) in accrued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1,121</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 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(265)</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increase in deferred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(1,107)</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(465)</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1,752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Capital expenditures, net of non-cash capital expenditures summarized below</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 </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(1,433)</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(1,340)</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Principal payments on notes payable</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(1,413)</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Principal payments on finance leases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 </w:t>
            </w:r>
          </w:p>
        </w:tc>
        <w:tc>
          <w:tcPr>
            <w:tcW w:w="9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(274)</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Borrowings on line of credit (related party)</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4,250</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Repayments on line of credit (related party)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(4,250)</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0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9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(1,687)</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righ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righ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(decrease) increase in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 </w:t>
            </w:r>
          </w:p>
        </w:tc>
        <w:tc>
          <w:tcPr>
            <w:tcW w:w="9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(3,533)</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 </w:t>
            </w:r>
          </w:p>
        </w:tc>
        <w:tc>
          <w:tcPr>
            <w:tcW w:w="7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1,280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and cash equivalents at beginning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4,907</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and cash equivalents at end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1,374</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2,665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Supplemental cash flow information: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Cash paid for interest </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383</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Non-cash operating, investing and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Finance leases incurred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361</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Increase in right-of-use assets and 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Financed equipment purchases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2,698</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Financed insurance premiums</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1,746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240" w:after="480"/>
        <w:ind w:left="0" w:right="0" w:hanging="0"/>
        <w:jc w:val="center"/>
        <w:rPr>
          <w:rFonts w:ascii="Times New Roman;Times;serif" w:hAnsi="Times New Roman;Times;serif"/>
          <w:i/>
          <w:sz w:val="18"/>
        </w:rPr>
      </w:pPr>
      <w:r>
        <w:rPr>
          <w:rFonts w:ascii="Times New Roman;Times;serif" w:hAnsi="Times New Roman;Times;serif"/>
          <w:i/>
          <w:sz w:val="18"/>
        </w:rPr>
        <w:t>See accompanying notes to the condensed consolidated financial statements (unaudited).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18"/>
        </w:rPr>
      </w:pPr>
      <w:bookmarkStart w:id="337" w:name="_3116e79d_6c5f_4e24_83a9_93d8947b4e1f"/>
      <w:bookmarkEnd w:id="337"/>
      <w:r>
        <w:rPr>
          <w:rFonts w:ascii="Times New Roman;Times;serif" w:hAnsi="Times New Roman;Times;serif"/>
          <w:b/>
          <w:sz w:val="18"/>
        </w:rPr>
        <w:t>DAWSON GEOPHYSICAL COMPANY</w:t>
      </w:r>
    </w:p>
    <w:p>
      <w:pPr>
        <w:pStyle w:val="TextBody"/>
        <w:bidi w:val="0"/>
        <w:spacing w:lineRule="auto" w:line="285" w:before="0" w:after="0"/>
        <w:ind w:left="0" w:right="0" w:hanging="0"/>
        <w:jc w:val="center"/>
        <w:rPr>
          <w:rFonts w:ascii="Times New Roman;Times;serif" w:hAnsi="Times New Roman;Times;serif"/>
          <w:b/>
          <w:sz w:val="18"/>
        </w:rPr>
      </w:pPr>
      <w:bookmarkStart w:id="338" w:name="STOCKHOLDERSEQUITY_926433"/>
      <w:bookmarkEnd w:id="338"/>
      <w:r>
        <w:rPr>
          <w:rFonts w:ascii="Times New Roman;Times;serif" w:hAnsi="Times New Roman;Times;serif"/>
          <w:b/>
          <w:sz w:val="18"/>
        </w:rPr>
        <w:t>CONDENSED CONSOLIDATED STATEMENTS OF STOCKHOLDERS’ EQUITY</w:t>
      </w:r>
    </w:p>
    <w:p>
      <w:pPr>
        <w:pStyle w:val="TextBody"/>
        <w:bidi w:val="0"/>
        <w:spacing w:lineRule="auto" w:line="285" w:before="0" w:after="120"/>
        <w:ind w:left="0" w:right="0" w:hanging="0"/>
        <w:jc w:val="center"/>
        <w:rPr>
          <w:rFonts w:ascii="Times New Roman;Times;serif" w:hAnsi="Times New Roman;Times;serif"/>
          <w:b/>
          <w:sz w:val="18"/>
        </w:rPr>
      </w:pPr>
      <w:r>
        <w:rPr>
          <w:rFonts w:ascii="Times New Roman;Times;serif" w:hAnsi="Times New Roman;Times;serif"/>
          <w:b/>
          <w:sz w:val="18"/>
        </w:rPr>
        <w:t>(unaudited and amounts in thousands, except share data)</w:t>
      </w:r>
    </w:p>
    <w:p>
      <w:pPr>
        <w:pStyle w:val="Normal"/>
        <w:bidi w:val="0"/>
        <w:spacing w:before="0" w:after="0"/>
        <w:jc w:val="left"/>
        <w:rPr>
          <w:sz w:val="4"/>
          <w:szCs w:val="4"/>
        </w:rPr>
      </w:pPr>
      <w:r>
        <w:rPr>
          <w:sz w:val="4"/>
          <w:szCs w:val="4"/>
        </w:rPr>
      </w:r>
      <w:bookmarkStart w:id="339" w:name="Tc_pymqHhfmB0Ge6RD0_2we6w_9_16"/>
      <w:bookmarkStart w:id="340" w:name="Tc_PVgCTSFpzkmU1qUUzL-8Ag_9_13"/>
      <w:bookmarkStart w:id="341" w:name="Tc_ulz8DQo3g02rX9P9Q3aDog_9_10"/>
      <w:bookmarkStart w:id="342" w:name="Tc_n2GRGyMRf02d8ljmMdVTDg_9_7"/>
      <w:bookmarkStart w:id="343" w:name="Tc_fmHfv4uRoEa-QOA2OBRWTQ_9_4"/>
      <w:bookmarkStart w:id="344" w:name="Tc_GnyHcN_UX0OY7yTUE1Mb9g_9_0"/>
      <w:bookmarkStart w:id="345" w:name="Tc_mzwfnwzSrUWj2mf8cuFX5w_8_0"/>
      <w:bookmarkStart w:id="346" w:name="Tc_L7GDsEv0Q0m1EhECldmy7Q_7_0"/>
      <w:bookmarkStart w:id="347" w:name="Tc_xgDkI8sGLU2yPz1sD6N4bg_6_0"/>
      <w:bookmarkStart w:id="348" w:name="Tc_tZpMhjEwGkusBQLpUqiY3w_5_16"/>
      <w:bookmarkStart w:id="349" w:name="Tc_Y7fFAFAQ3EG91mXTMJ8BzQ_5_13"/>
      <w:bookmarkStart w:id="350" w:name="Tc_E_kpFtcOuEKzDpuLgMmXJA_5_10"/>
      <w:bookmarkStart w:id="351" w:name="Tc_tqRLKSnHx0mNlkr6w8heUw_5_7"/>
      <w:bookmarkStart w:id="352" w:name="Tc_6p3n9GV4B0uU983Ldv3tFA_5_4"/>
      <w:bookmarkStart w:id="353" w:name="Tc_i6UJvTd_NEKXMxa3gz89ag_5_0"/>
      <w:bookmarkStart w:id="354" w:name="Tc_iHE0jJSH7EC-A3e55XpE4g_4_16"/>
      <w:bookmarkStart w:id="355" w:name="Tc_4KLc2kioT0GCGf-rIuVf8Q_4_13"/>
      <w:bookmarkStart w:id="356" w:name="Tc_YUjsiMzcakmJQliA7fLw2Q_4_10"/>
      <w:bookmarkStart w:id="357" w:name="Tc_hANcLv4J2k6vvHc2VnrQow_4_7"/>
      <w:bookmarkStart w:id="358" w:name="Tc_OO8lIiTABkqCOslhIU8rfw_4_4"/>
      <w:bookmarkStart w:id="359" w:name="Tc_GrEMr12-FUSv3yVgr7TYwA_4_2"/>
      <w:bookmarkStart w:id="360" w:name="Tc_3JLgkpc6xUm9GqI3Fwvr7w_3_13"/>
      <w:bookmarkStart w:id="361" w:name="Tc_1mP7yY1elUuf_G_0i8YU6g_3_10"/>
      <w:bookmarkStart w:id="362" w:name="Tc_KV7LazSjJk2mov8BwtyjxQ_3_7"/>
      <w:bookmarkStart w:id="363" w:name="Tc_i5wb7mByS0WyJgdnsBE3TA_3_2"/>
      <w:bookmarkStart w:id="364" w:name="Tc_W6iVARqWqUy7Y5APC9f05g_2_13"/>
      <w:bookmarkStart w:id="365" w:name="Tc_3XF0TOTp6U2hstVKYmhcBw_2_7"/>
      <w:bookmarkStart w:id="366" w:name="Tc_VQKx7przek6NFGzMMKoDqQ_2_2"/>
      <w:bookmarkStart w:id="367" w:name="Tc_he41pw0w90S7-bOja7jG0A_1_13"/>
      <w:bookmarkStart w:id="368" w:name="_58ea8d7b_fdc8_4196_8da8_4bdb30a5bd70"/>
      <w:bookmarkStart w:id="369" w:name="Tc_pymqHhfmB0Ge6RD0_2we6w_9_16"/>
      <w:bookmarkStart w:id="370" w:name="Tc_PVgCTSFpzkmU1qUUzL-8Ag_9_13"/>
      <w:bookmarkStart w:id="371" w:name="Tc_ulz8DQo3g02rX9P9Q3aDog_9_10"/>
      <w:bookmarkStart w:id="372" w:name="Tc_n2GRGyMRf02d8ljmMdVTDg_9_7"/>
      <w:bookmarkStart w:id="373" w:name="Tc_fmHfv4uRoEa-QOA2OBRWTQ_9_4"/>
      <w:bookmarkStart w:id="374" w:name="Tc_GnyHcN_UX0OY7yTUE1Mb9g_9_0"/>
      <w:bookmarkStart w:id="375" w:name="Tc_mzwfnwzSrUWj2mf8cuFX5w_8_0"/>
      <w:bookmarkStart w:id="376" w:name="Tc_L7GDsEv0Q0m1EhECldmy7Q_7_0"/>
      <w:bookmarkStart w:id="377" w:name="Tc_xgDkI8sGLU2yPz1sD6N4bg_6_0"/>
      <w:bookmarkStart w:id="378" w:name="Tc_tZpMhjEwGkusBQLpUqiY3w_5_16"/>
      <w:bookmarkStart w:id="379" w:name="Tc_Y7fFAFAQ3EG91mXTMJ8BzQ_5_13"/>
      <w:bookmarkStart w:id="380" w:name="Tc_E_kpFtcOuEKzDpuLgMmXJA_5_10"/>
      <w:bookmarkStart w:id="381" w:name="Tc_tqRLKSnHx0mNlkr6w8heUw_5_7"/>
      <w:bookmarkStart w:id="382" w:name="Tc_6p3n9GV4B0uU983Ldv3tFA_5_4"/>
      <w:bookmarkStart w:id="383" w:name="Tc_i6UJvTd_NEKXMxa3gz89ag_5_0"/>
      <w:bookmarkStart w:id="384" w:name="Tc_iHE0jJSH7EC-A3e55XpE4g_4_16"/>
      <w:bookmarkStart w:id="385" w:name="Tc_4KLc2kioT0GCGf-rIuVf8Q_4_13"/>
      <w:bookmarkStart w:id="386" w:name="Tc_YUjsiMzcakmJQliA7fLw2Q_4_10"/>
      <w:bookmarkStart w:id="387" w:name="Tc_hANcLv4J2k6vvHc2VnrQow_4_7"/>
      <w:bookmarkStart w:id="388" w:name="Tc_OO8lIiTABkqCOslhIU8rfw_4_4"/>
      <w:bookmarkStart w:id="389" w:name="Tc_GrEMr12-FUSv3yVgr7TYwA_4_2"/>
      <w:bookmarkStart w:id="390" w:name="Tc_3JLgkpc6xUm9GqI3Fwvr7w_3_13"/>
      <w:bookmarkStart w:id="391" w:name="Tc_1mP7yY1elUuf_G_0i8YU6g_3_10"/>
      <w:bookmarkStart w:id="392" w:name="Tc_KV7LazSjJk2mov8BwtyjxQ_3_7"/>
      <w:bookmarkStart w:id="393" w:name="Tc_i5wb7mByS0WyJgdnsBE3TA_3_2"/>
      <w:bookmarkStart w:id="394" w:name="Tc_W6iVARqWqUy7Y5APC9f05g_2_13"/>
      <w:bookmarkStart w:id="395" w:name="Tc_3XF0TOTp6U2hstVKYmhcBw_2_7"/>
      <w:bookmarkStart w:id="396" w:name="Tc_VQKx7przek6NFGzMMKoDqQ_2_2"/>
      <w:bookmarkStart w:id="397" w:name="Tc_he41pw0w90S7-bOja7jG0A_1_13"/>
      <w:bookmarkStart w:id="398" w:name="_58ea8d7b_fdc8_4196_8da8_4bdb30a5bd70"/>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tbl>
      <w:tblPr>
        <w:tblW w:w="10205" w:type="dxa"/>
        <w:jc w:val="left"/>
        <w:tblInd w:w="0" w:type="dxa"/>
        <w:tblLayout w:type="fixed"/>
        <w:tblCellMar>
          <w:top w:w="0" w:type="dxa"/>
          <w:left w:w="0" w:type="dxa"/>
          <w:bottom w:w="0" w:type="dxa"/>
          <w:right w:w="0" w:type="dxa"/>
        </w:tblCellMar>
      </w:tblPr>
      <w:tblGrid>
        <w:gridCol w:w="2327"/>
        <w:gridCol w:w="109"/>
        <w:gridCol w:w="936"/>
        <w:gridCol w:w="346"/>
        <w:gridCol w:w="257"/>
        <w:gridCol w:w="494"/>
        <w:gridCol w:w="346"/>
        <w:gridCol w:w="205"/>
        <w:gridCol w:w="726"/>
        <w:gridCol w:w="346"/>
        <w:gridCol w:w="233"/>
        <w:gridCol w:w="893"/>
        <w:gridCol w:w="346"/>
        <w:gridCol w:w="332"/>
        <w:gridCol w:w="974"/>
        <w:gridCol w:w="346"/>
        <w:gridCol w:w="196"/>
        <w:gridCol w:w="601"/>
        <w:gridCol w:w="192"/>
      </w:tblGrid>
      <w:tr>
        <w:trPr/>
        <w:tc>
          <w:tcPr>
            <w:tcW w:w="2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77645" cy="175260"/>
                      <wp:effectExtent l="0" t="0" r="0" b="0"/>
                      <wp:wrapNone/>
                      <wp:docPr id="27" name="Frame27"/>
                      <a:graphic xmlns:a="http://schemas.openxmlformats.org/drawingml/2006/main">
                        <a:graphicData uri="http://schemas.microsoft.com/office/word/2010/wordprocessingShape">
                          <wps:wsp>
                            <wps:cNvSpPr txBox="1"/>
                            <wps:spPr>
                              <a:xfrm>
                                <a:off x="0" y="0"/>
                                <a:ext cx="14776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8"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94360" cy="175260"/>
                      <wp:effectExtent l="0" t="0" r="0" b="0"/>
                      <wp:wrapNone/>
                      <wp:docPr id="29" name="Frame29"/>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63195" cy="175260"/>
                      <wp:effectExtent l="0" t="0" r="0" b="0"/>
                      <wp:wrapNone/>
                      <wp:docPr id="31" name="Frame3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13690" cy="175260"/>
                      <wp:effectExtent l="0" t="0" r="0" b="0"/>
                      <wp:wrapNone/>
                      <wp:docPr id="32" name="Frame32"/>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0175" cy="175260"/>
                      <wp:effectExtent l="0" t="0" r="0" b="0"/>
                      <wp:wrapNone/>
                      <wp:docPr id="34" name="Frame34"/>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61010" cy="175260"/>
                      <wp:effectExtent l="0" t="0" r="0" b="0"/>
                      <wp:wrapNone/>
                      <wp:docPr id="35" name="Frame35"/>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7955" cy="175260"/>
                      <wp:effectExtent l="0" t="0" r="0" b="0"/>
                      <wp:wrapNone/>
                      <wp:docPr id="37" name="Frame3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67055" cy="175260"/>
                      <wp:effectExtent l="0" t="0" r="0" b="0"/>
                      <wp:wrapNone/>
                      <wp:docPr id="38" name="Frame38"/>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0820" cy="175260"/>
                      <wp:effectExtent l="0" t="0" r="0" b="0"/>
                      <wp:wrapNone/>
                      <wp:docPr id="40" name="Frame40"/>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18490" cy="175260"/>
                      <wp:effectExtent l="0" t="0" r="0" b="0"/>
                      <wp:wrapNone/>
                      <wp:docPr id="41" name="Frame4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81635" cy="175260"/>
                      <wp:effectExtent l="0" t="0" r="0" b="0"/>
                      <wp:wrapNone/>
                      <wp:docPr id="44" name="Frame4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1920" cy="175260"/>
                      <wp:effectExtent l="0" t="0" r="0" b="0"/>
                      <wp:wrapNone/>
                      <wp:docPr id="45" name="Frame45"/>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2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lef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232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3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lef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232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Number</w:t>
            </w:r>
          </w:p>
        </w:tc>
        <w:tc>
          <w:tcPr>
            <w:tcW w:w="346" w:type="dxa"/>
            <w:tcBorders/>
            <w:vAlign w:val="center"/>
          </w:tcPr>
          <w:p>
            <w:pPr>
              <w:pStyle w:val="TableContents"/>
              <w:bidi w:val="0"/>
              <w:spacing w:lineRule="auto" w:line="285" w:before="0" w:after="0"/>
              <w:ind w:left="0" w:right="0" w:hanging="0"/>
              <w:jc w:val="left"/>
              <w:rPr/>
            </w:pPr>
            <w:r>
              <w:rPr/>
              <w:t>​</w:t>
            </w:r>
          </w:p>
        </w:tc>
        <w:tc>
          <w:tcPr>
            <w:tcW w:w="751"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lef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232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lineRule="auto" w:line="285"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46" w:type="dxa"/>
            <w:tcBorders/>
            <w:vAlign w:val="center"/>
          </w:tcPr>
          <w:p>
            <w:pPr>
              <w:pStyle w:val="TableContents"/>
              <w:bidi w:val="0"/>
              <w:spacing w:lineRule="auto" w:line="285"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46" w:type="dxa"/>
            <w:tcBorders/>
            <w:vAlign w:val="center"/>
          </w:tcPr>
          <w:p>
            <w:pPr>
              <w:pStyle w:val="TableContents"/>
              <w:bidi w:val="0"/>
              <w:spacing w:lineRule="auto" w:line="285"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346" w:type="dxa"/>
            <w:tcBorders/>
            <w:vAlign w:val="center"/>
          </w:tcPr>
          <w:p>
            <w:pPr>
              <w:pStyle w:val="TableContents"/>
              <w:bidi w:val="0"/>
              <w:spacing w:lineRule="auto" w:line="285"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92" w:type="dxa"/>
            <w:tcBorders/>
            <w:vAlign w:val="center"/>
          </w:tcPr>
          <w:p>
            <w:pPr>
              <w:pStyle w:val="TableContents"/>
              <w:bidi w:val="0"/>
              <w:spacing w:lineRule="auto" w:line="285" w:before="0" w:after="0"/>
              <w:ind w:left="0" w:right="0" w:hanging="0"/>
              <w:jc w:val="left"/>
              <w:rPr/>
            </w:pPr>
            <w:r>
              <w:rPr/>
              <w:t> </w:t>
            </w:r>
          </w:p>
        </w:tc>
      </w:tr>
      <w:tr>
        <w:trPr/>
        <w:tc>
          <w:tcPr>
            <w:tcW w:w="23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January 1, 2026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31,052,840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(139,560)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(2,097)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15,808</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2327"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lineRule="auto" w:line="285" w:before="0" w:after="0"/>
              <w:ind w:left="0" w:right="0" w:hanging="0"/>
              <w:jc w:val="left"/>
              <w:rPr/>
            </w:pPr>
            <w:r>
              <w:rPr/>
              <w:t>​</w:t>
            </w:r>
          </w:p>
        </w:tc>
        <w:tc>
          <w:tcPr>
            <w:tcW w:w="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7,661</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0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7,661</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23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loss on foreign exchange rate translation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2327"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lineRule="auto" w:line="285"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23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March 31, 2026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31,052,840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157,201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(131,899)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23,330</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99" w:name="Tc_zmqrnOpqrEKetACaKsIYWQ_11_16"/>
      <w:bookmarkStart w:id="400" w:name="Tc_PDVCX2ud1EqiO1QSqyOblA_11_13"/>
      <w:bookmarkStart w:id="401" w:name="Tc_tai-HmDUMEuocT32ORMNcw_11_10"/>
      <w:bookmarkStart w:id="402" w:name="Tc_hmJ66o6FoEaZ031TX65gHw_11_7"/>
      <w:bookmarkStart w:id="403" w:name="Tc_Pcl7gQAC2EGEEgkL4GotjA_11_4"/>
      <w:bookmarkStart w:id="404" w:name="Tc_bd5caAiSXk2KZHR5v8DR1A_11_0"/>
      <w:bookmarkStart w:id="405" w:name="Tc_JyIqTgnrHk-tQt6praJP4Q_10_17"/>
      <w:bookmarkStart w:id="406" w:name="Tc_33EPjw3RNUmg3OCXrAZWEQ_10_8"/>
      <w:bookmarkStart w:id="407" w:name="Tc_MMLBVG7A3U-A1lcvFiEpGg_10_5"/>
      <w:bookmarkStart w:id="408" w:name="Tc_YU-vrEi0C0Gh4L72Tr9nQA_10_0"/>
      <w:bookmarkStart w:id="409" w:name="Tc_uaJ4O7zh4U-VgU1INREvKg_9_17"/>
      <w:bookmarkStart w:id="410" w:name="Tc_GEB7vWOan0ay3YOtAV_Reg_9_8"/>
      <w:bookmarkStart w:id="411" w:name="Tc_QhFIBEQP1UaYgq2mg0DNwA_9_5"/>
      <w:bookmarkStart w:id="412" w:name="Tc_SiIJknoQ1UC2aTi2A60NXQ_9_0"/>
      <w:bookmarkStart w:id="413" w:name="Tc_EThmfG46NUmUdmWqac5MmQ_8_0"/>
      <w:bookmarkStart w:id="414" w:name="Tc_J66S78lyzUyWmcZjAWFKJw_7_0"/>
      <w:bookmarkStart w:id="415" w:name="Tc_z6UcT5lWr0i0DML5GOkTfw_6_0"/>
      <w:bookmarkStart w:id="416" w:name="Tc_OoF6W8M4p0uXCRJe8GjX-g_5_16"/>
      <w:bookmarkStart w:id="417" w:name="Tc_35LHeM46X0WetfXd7HoNrw_5_13"/>
      <w:bookmarkStart w:id="418" w:name="Tc_0EjtudJ-dkiiWV-a38qUPA_5_10"/>
      <w:bookmarkStart w:id="419" w:name="Tc_zkbTvddsDEyeGQ401KtX0Q_5_7"/>
      <w:bookmarkStart w:id="420" w:name="Tc_SiIyReRalkKg0Zx7X5tyjw_5_4"/>
      <w:bookmarkStart w:id="421" w:name="Tc_N5tQ6uC9cEqzqG6ZTCL52g_5_0"/>
      <w:bookmarkStart w:id="422" w:name="Tc_n4zCneg450WECzTKacnRzg_4_16"/>
      <w:bookmarkStart w:id="423" w:name="Tc_d9z1uJWa10yKCIyquyAGHQ_4_13"/>
      <w:bookmarkStart w:id="424" w:name="Tc_4mIynRXVlUmTtui66zCb7g_4_10"/>
      <w:bookmarkStart w:id="425" w:name="Tc_i6mw4tBJmUCHt2RNAngiJQ_4_7"/>
      <w:bookmarkStart w:id="426" w:name="Tc__2jhH9aYKk6ySYPsKoAxNg_4_4"/>
      <w:bookmarkStart w:id="427" w:name="Tc_-n399R7ubEGmozdIXBL50A_4_2"/>
      <w:bookmarkStart w:id="428" w:name="Tc_wTtavRvot0KU5ycmtqin2Q_3_13"/>
      <w:bookmarkStart w:id="429" w:name="Tc_KoqNaYaFQEGLV7ifTEJ9SQ_3_10"/>
      <w:bookmarkStart w:id="430" w:name="Tc_4i9lXdZIdEGPomkLWOICcQ_3_7"/>
      <w:bookmarkStart w:id="431" w:name="Tc_F2c-OBfp-kq6JNOvj3jQOA_3_2"/>
      <w:bookmarkStart w:id="432" w:name="Tc_DlAhVC8pqkupPUCrGFmbcA_2_13"/>
      <w:bookmarkStart w:id="433" w:name="Tc_RLxArFi2YUWe3RX1n3_7FA_2_7"/>
      <w:bookmarkStart w:id="434" w:name="Tc_1V8PEelATE-ra21wLb1SSQ_2_2"/>
      <w:bookmarkStart w:id="435" w:name="Tc_skTftthovka17jFZe5jQAg_1_13"/>
      <w:bookmarkStart w:id="436" w:name="_32d0e4e3_e154_487c_9c11_56d1225dd966"/>
      <w:bookmarkStart w:id="437" w:name="Tc_zmqrnOpqrEKetACaKsIYWQ_11_16"/>
      <w:bookmarkStart w:id="438" w:name="Tc_PDVCX2ud1EqiO1QSqyOblA_11_13"/>
      <w:bookmarkStart w:id="439" w:name="Tc_tai-HmDUMEuocT32ORMNcw_11_10"/>
      <w:bookmarkStart w:id="440" w:name="Tc_hmJ66o6FoEaZ031TX65gHw_11_7"/>
      <w:bookmarkStart w:id="441" w:name="Tc_Pcl7gQAC2EGEEgkL4GotjA_11_4"/>
      <w:bookmarkStart w:id="442" w:name="Tc_bd5caAiSXk2KZHR5v8DR1A_11_0"/>
      <w:bookmarkStart w:id="443" w:name="Tc_JyIqTgnrHk-tQt6praJP4Q_10_17"/>
      <w:bookmarkStart w:id="444" w:name="Tc_33EPjw3RNUmg3OCXrAZWEQ_10_8"/>
      <w:bookmarkStart w:id="445" w:name="Tc_MMLBVG7A3U-A1lcvFiEpGg_10_5"/>
      <w:bookmarkStart w:id="446" w:name="Tc_YU-vrEi0C0Gh4L72Tr9nQA_10_0"/>
      <w:bookmarkStart w:id="447" w:name="Tc_uaJ4O7zh4U-VgU1INREvKg_9_17"/>
      <w:bookmarkStart w:id="448" w:name="Tc_GEB7vWOan0ay3YOtAV_Reg_9_8"/>
      <w:bookmarkStart w:id="449" w:name="Tc_QhFIBEQP1UaYgq2mg0DNwA_9_5"/>
      <w:bookmarkStart w:id="450" w:name="Tc_SiIJknoQ1UC2aTi2A60NXQ_9_0"/>
      <w:bookmarkStart w:id="451" w:name="Tc_EThmfG46NUmUdmWqac5MmQ_8_0"/>
      <w:bookmarkStart w:id="452" w:name="Tc_J66S78lyzUyWmcZjAWFKJw_7_0"/>
      <w:bookmarkStart w:id="453" w:name="Tc_z6UcT5lWr0i0DML5GOkTfw_6_0"/>
      <w:bookmarkStart w:id="454" w:name="Tc_OoF6W8M4p0uXCRJe8GjX-g_5_16"/>
      <w:bookmarkStart w:id="455" w:name="Tc_35LHeM46X0WetfXd7HoNrw_5_13"/>
      <w:bookmarkStart w:id="456" w:name="Tc_0EjtudJ-dkiiWV-a38qUPA_5_10"/>
      <w:bookmarkStart w:id="457" w:name="Tc_zkbTvddsDEyeGQ401KtX0Q_5_7"/>
      <w:bookmarkStart w:id="458" w:name="Tc_SiIyReRalkKg0Zx7X5tyjw_5_4"/>
      <w:bookmarkStart w:id="459" w:name="Tc_N5tQ6uC9cEqzqG6ZTCL52g_5_0"/>
      <w:bookmarkStart w:id="460" w:name="Tc_n4zCneg450WECzTKacnRzg_4_16"/>
      <w:bookmarkStart w:id="461" w:name="Tc_d9z1uJWa10yKCIyquyAGHQ_4_13"/>
      <w:bookmarkStart w:id="462" w:name="Tc_4mIynRXVlUmTtui66zCb7g_4_10"/>
      <w:bookmarkStart w:id="463" w:name="Tc_i6mw4tBJmUCHt2RNAngiJQ_4_7"/>
      <w:bookmarkStart w:id="464" w:name="Tc__2jhH9aYKk6ySYPsKoAxNg_4_4"/>
      <w:bookmarkStart w:id="465" w:name="Tc_-n399R7ubEGmozdIXBL50A_4_2"/>
      <w:bookmarkStart w:id="466" w:name="Tc_wTtavRvot0KU5ycmtqin2Q_3_13"/>
      <w:bookmarkStart w:id="467" w:name="Tc_KoqNaYaFQEGLV7ifTEJ9SQ_3_10"/>
      <w:bookmarkStart w:id="468" w:name="Tc_4i9lXdZIdEGPomkLWOICcQ_3_7"/>
      <w:bookmarkStart w:id="469" w:name="Tc_F2c-OBfp-kq6JNOvj3jQOA_3_2"/>
      <w:bookmarkStart w:id="470" w:name="Tc_DlAhVC8pqkupPUCrGFmbcA_2_13"/>
      <w:bookmarkStart w:id="471" w:name="Tc_RLxArFi2YUWe3RX1n3_7FA_2_7"/>
      <w:bookmarkStart w:id="472" w:name="Tc_1V8PEelATE-ra21wLb1SSQ_2_2"/>
      <w:bookmarkStart w:id="473" w:name="Tc_skTftthovka17jFZe5jQAg_1_13"/>
      <w:bookmarkStart w:id="474" w:name="_32d0e4e3_e154_487c_9c11_56d1225dd96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tbl>
      <w:tblPr>
        <w:tblW w:w="10205" w:type="dxa"/>
        <w:jc w:val="left"/>
        <w:tblInd w:w="0" w:type="dxa"/>
        <w:tblLayout w:type="fixed"/>
        <w:tblCellMar>
          <w:top w:w="0" w:type="dxa"/>
          <w:left w:w="0" w:type="dxa"/>
          <w:bottom w:w="0" w:type="dxa"/>
          <w:right w:w="0" w:type="dxa"/>
        </w:tblCellMar>
      </w:tblPr>
      <w:tblGrid>
        <w:gridCol w:w="2330"/>
        <w:gridCol w:w="109"/>
        <w:gridCol w:w="933"/>
        <w:gridCol w:w="346"/>
        <w:gridCol w:w="257"/>
        <w:gridCol w:w="494"/>
        <w:gridCol w:w="346"/>
        <w:gridCol w:w="205"/>
        <w:gridCol w:w="726"/>
        <w:gridCol w:w="346"/>
        <w:gridCol w:w="233"/>
        <w:gridCol w:w="893"/>
        <w:gridCol w:w="346"/>
        <w:gridCol w:w="332"/>
        <w:gridCol w:w="974"/>
        <w:gridCol w:w="346"/>
        <w:gridCol w:w="196"/>
        <w:gridCol w:w="601"/>
        <w:gridCol w:w="192"/>
      </w:tblGrid>
      <w:tr>
        <w:trPr/>
        <w:tc>
          <w:tcPr>
            <w:tcW w:w="2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79550" cy="175260"/>
                      <wp:effectExtent l="0" t="0" r="0" b="0"/>
                      <wp:wrapNone/>
                      <wp:docPr id="46" name="Frame46"/>
                      <a:graphic xmlns:a="http://schemas.openxmlformats.org/drawingml/2006/main">
                        <a:graphicData uri="http://schemas.microsoft.com/office/word/2010/wordprocessingShape">
                          <wps:wsp>
                            <wps:cNvSpPr txBox="1"/>
                            <wps:spPr>
                              <a:xfrm>
                                <a:off x="0" y="0"/>
                                <a:ext cx="14795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92455" cy="175260"/>
                      <wp:effectExtent l="0" t="0" r="0" b="0"/>
                      <wp:wrapNone/>
                      <wp:docPr id="48" name="Frame48"/>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63195" cy="175260"/>
                      <wp:effectExtent l="0" t="0" r="0" b="0"/>
                      <wp:wrapNone/>
                      <wp:docPr id="50" name="Frame50"/>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13690" cy="175260"/>
                      <wp:effectExtent l="0" t="0" r="0" b="0"/>
                      <wp:wrapNone/>
                      <wp:docPr id="51" name="Frame51"/>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0175" cy="175260"/>
                      <wp:effectExtent l="0" t="0" r="0" b="0"/>
                      <wp:wrapNone/>
                      <wp:docPr id="53" name="Frame53"/>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61010" cy="175260"/>
                      <wp:effectExtent l="0" t="0" r="0" b="0"/>
                      <wp:wrapNone/>
                      <wp:docPr id="54" name="Frame54"/>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7955" cy="175260"/>
                      <wp:effectExtent l="0" t="0" r="0" b="0"/>
                      <wp:wrapNone/>
                      <wp:docPr id="56" name="Frame5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67055" cy="175260"/>
                      <wp:effectExtent l="0" t="0" r="0" b="0"/>
                      <wp:wrapNone/>
                      <wp:docPr id="57" name="Frame57"/>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0820" cy="175260"/>
                      <wp:effectExtent l="0" t="0" r="0" b="0"/>
                      <wp:wrapNone/>
                      <wp:docPr id="59" name="Frame59"/>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18490" cy="175260"/>
                      <wp:effectExtent l="0" t="0" r="0" b="0"/>
                      <wp:wrapNone/>
                      <wp:docPr id="60" name="Frame60"/>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81635" cy="175260"/>
                      <wp:effectExtent l="0" t="0" r="0" b="0"/>
                      <wp:wrapNone/>
                      <wp:docPr id="63" name="Frame6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1920" cy="175260"/>
                      <wp:effectExtent l="0" t="0" r="0" b="0"/>
                      <wp:wrapNone/>
                      <wp:docPr id="64" name="Frame64"/>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30"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lef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2330"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30"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lef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2330"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Number</w:t>
            </w:r>
          </w:p>
        </w:tc>
        <w:tc>
          <w:tcPr>
            <w:tcW w:w="346" w:type="dxa"/>
            <w:tcBorders/>
            <w:vAlign w:val="center"/>
          </w:tcPr>
          <w:p>
            <w:pPr>
              <w:pStyle w:val="TableContents"/>
              <w:bidi w:val="0"/>
              <w:spacing w:lineRule="auto" w:line="285" w:before="0" w:after="0"/>
              <w:ind w:left="0" w:right="0" w:hanging="0"/>
              <w:jc w:val="left"/>
              <w:rPr/>
            </w:pPr>
            <w:r>
              <w:rPr/>
              <w:t>​</w:t>
            </w:r>
          </w:p>
        </w:tc>
        <w:tc>
          <w:tcPr>
            <w:tcW w:w="751"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lef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2330"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lineRule="auto" w:line="285"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46" w:type="dxa"/>
            <w:tcBorders/>
            <w:vAlign w:val="center"/>
          </w:tcPr>
          <w:p>
            <w:pPr>
              <w:pStyle w:val="TableContents"/>
              <w:bidi w:val="0"/>
              <w:spacing w:lineRule="auto" w:line="285"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46" w:type="dxa"/>
            <w:tcBorders/>
            <w:vAlign w:val="center"/>
          </w:tcPr>
          <w:p>
            <w:pPr>
              <w:pStyle w:val="TableContents"/>
              <w:bidi w:val="0"/>
              <w:spacing w:lineRule="auto" w:line="285"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346" w:type="dxa"/>
            <w:tcBorders/>
            <w:vAlign w:val="center"/>
          </w:tcPr>
          <w:p>
            <w:pPr>
              <w:pStyle w:val="TableContents"/>
              <w:bidi w:val="0"/>
              <w:spacing w:lineRule="auto" w:line="285"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92" w:type="dxa"/>
            <w:tcBorders/>
            <w:vAlign w:val="center"/>
          </w:tcPr>
          <w:p>
            <w:pPr>
              <w:pStyle w:val="TableContents"/>
              <w:bidi w:val="0"/>
              <w:spacing w:lineRule="auto" w:line="285" w:before="0" w:after="0"/>
              <w:ind w:left="0" w:right="0" w:hanging="0"/>
              <w:jc w:val="left"/>
              <w:rPr/>
            </w:pPr>
            <w:r>
              <w:rPr/>
              <w:t> </w:t>
            </w:r>
          </w:p>
        </w:tc>
      </w:tr>
      <w:tr>
        <w:trPr/>
        <w:tc>
          <w:tcPr>
            <w:tcW w:w="233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January 1,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30,983,437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157,073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(137,619)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17,281</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233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233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loss on foreign exchange rate translation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left"/>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233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233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as compensation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left"/>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01" w:type="dxa"/>
            <w:tcBorders/>
            <w:shd w:fill="CCEEFF" w:val="clear"/>
            <w:vAlign w:val="center"/>
          </w:tcPr>
          <w:p>
            <w:pPr>
              <w:pStyle w:val="TableContents"/>
              <w:bidi w:val="0"/>
              <w:spacing w:lineRule="auto" w:line="285" w:before="0" w:after="0"/>
              <w:ind w:left="0" w:right="0" w:hanging="0"/>
              <w:jc w:val="right"/>
              <w:rPr/>
            </w:pPr>
            <w:r>
              <w:rPr/>
              <w:t>—</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233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Shares exchanged for taxes on stock-based compensation</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233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March 31,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30,984,162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(136,627)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18,287</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120" w:after="240"/>
        <w:ind w:left="0" w:right="0" w:hanging="0"/>
        <w:jc w:val="center"/>
        <w:rPr>
          <w:rFonts w:ascii="Times New Roman;Times;serif" w:hAnsi="Times New Roman;Times;serif"/>
          <w:i/>
          <w:sz w:val="18"/>
        </w:rPr>
      </w:pPr>
      <w:r>
        <w:rPr>
          <w:rFonts w:ascii="Times New Roman;Times;serif" w:hAnsi="Times New Roman;Times;serif"/>
          <w:i/>
          <w:sz w:val="18"/>
        </w:rPr>
        <w:t>See accompanying notes to the condensed consolidated financial statements (unaudited).</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14" w:before="0" w:after="120"/>
        <w:ind w:left="0" w:right="0" w:hanging="0"/>
        <w:jc w:val="center"/>
        <w:rPr>
          <w:rFonts w:ascii="Times New Roman;Times;serif" w:hAnsi="Times New Roman;Times;serif"/>
          <w:b/>
          <w:sz w:val="20"/>
        </w:rPr>
      </w:pPr>
      <w:bookmarkStart w:id="475" w:name="_f95a8707_7844_475c_bdc8_fb9091fac5dd"/>
      <w:bookmarkEnd w:id="475"/>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b/>
          <w:sz w:val="20"/>
        </w:rPr>
      </w:pPr>
      <w:bookmarkStart w:id="476" w:name="NOTESTOCONDENSEDCONSOLIDATEDFINANCIALSTA"/>
      <w:bookmarkEnd w:id="476"/>
      <w:r>
        <w:rPr>
          <w:rFonts w:ascii="Times New Roman;Times;serif" w:hAnsi="Times New Roman;Times;serif"/>
          <w:b/>
          <w:sz w:val="20"/>
        </w:rPr>
        <w:t>NOTES TO CONDENSED CONSOLIDATED FINANCIAL STATEMENTS (UNAUDITED)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 ORGANIZATION AND NATURE OF OPERATIONS </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firstLine="490"/>
        <w:jc w:val="both"/>
        <w:rPr>
          <w:rFonts w:ascii="Times New Roman;Times;serif" w:hAnsi="Times New Roman;Times;serif"/>
          <w:sz w:val="20"/>
        </w:rPr>
      </w:pPr>
      <w:r>
        <w:rPr>
          <w:rFonts w:ascii="Times New Roman;Times;serif" w:hAnsi="Times New Roman;Times;serif"/>
          <w:sz w:val="20"/>
        </w:rPr>
        <w:t xml:space="preserve">Dawson Geophysical Company, and its consolidated subsidiaries (the “Company”) is a leading provider of North American onshore seismic data acquisition services with operations throughout the continental United States (“U.S.”) and Canada. The Company acquires and processes 2-D, 3-D and multicomponent seismic data solely for its clients, ranging from major oil and gas companies to independent oil and gas operators as well as providers of multi-client data libraries. </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 xml:space="preserve">2. SUMMARY OF SIGNIFICANT ACCOUNTING POLICIES </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Basis of Presentation </w:t>
      </w:r>
    </w:p>
    <w:p>
      <w:pPr>
        <w:pStyle w:val="TextBody"/>
        <w:bidi w:val="0"/>
        <w:spacing w:lineRule="auto" w:line="285" w:before="0" w:after="200"/>
        <w:ind w:left="0" w:right="0" w:firstLine="490"/>
        <w:jc w:val="both"/>
        <w:rPr>
          <w:rFonts w:ascii="Times New Roman;Times;serif" w:hAnsi="Times New Roman;Times;serif"/>
          <w:sz w:val="20"/>
        </w:rPr>
      </w:pPr>
      <w:r>
        <w:rPr>
          <w:rFonts w:ascii="Times New Roman;Times;serif" w:hAnsi="Times New Roman;Times;serif"/>
          <w:sz w:val="20"/>
        </w:rPr>
        <w:t>In the opinion of the Company’s management, the condensed consolidated financial statements reflect all adjustments, which are normal and recurring in nature, necessary for fair financial statement presentation. The preparation of these condensed consolidated financial statements in conformity with U.S. generally accepted accounting principles (“GAAP”) requires management to make estimates and assumptions that affect the amounts reported in these condensed consolidated financial statements and accompanying notes. Actual results could differ materially from those estimates. Certain prior period amounts in the condensed consolidated financial statements may have been reclassified to conform to the current period’s presentation.</w:t>
      </w:r>
    </w:p>
    <w:p>
      <w:pPr>
        <w:pStyle w:val="TextBody"/>
        <w:bidi w:val="0"/>
        <w:spacing w:lineRule="auto" w:line="285" w:before="0" w:after="200"/>
        <w:ind w:left="0" w:right="0" w:firstLine="490"/>
        <w:jc w:val="both"/>
        <w:rPr>
          <w:rFonts w:ascii="Times New Roman;Times;serif" w:hAnsi="Times New Roman;Times;serif"/>
          <w:sz w:val="20"/>
        </w:rPr>
      </w:pPr>
      <w:r>
        <w:rPr>
          <w:rFonts w:ascii="Times New Roman;Times;serif" w:hAnsi="Times New Roman;Times;serif"/>
          <w:sz w:val="20"/>
        </w:rPr>
        <w:t>These condensed consolidated financial statements have been prepared using accounting principles generally accepted in the U.S. for interim financial information and the instructions to Form 10-Q and applicable rules of Regulation S-X of the Securities and Exchange Commission (the “SEC”). Certain information and footnote disclosures normally included in annual financial statements presented in accordance with accounting principles generally accepted in the U.S. have been omitted.</w:t>
      </w:r>
    </w:p>
    <w:p>
      <w:pPr>
        <w:pStyle w:val="TextBody"/>
        <w:bidi w:val="0"/>
        <w:spacing w:lineRule="auto" w:line="285" w:before="0" w:after="200"/>
        <w:ind w:left="0" w:right="0" w:firstLine="490"/>
        <w:jc w:val="both"/>
        <w:rPr>
          <w:rFonts w:ascii="Times New Roman;Times;serif" w:hAnsi="Times New Roman;Times;serif"/>
          <w:sz w:val="20"/>
        </w:rPr>
      </w:pPr>
      <w:r>
        <w:rPr>
          <w:rFonts w:ascii="Times New Roman;Times;serif" w:hAnsi="Times New Roman;Times;serif"/>
          <w:sz w:val="20"/>
        </w:rPr>
        <w:t>These condensed consolidated financial statements and accompanying notes should be read in conjunction with the Company’s annual consolidated financial statements and the notes thereto included in the Company’s Annual Report on Form 10-K for the year ended December 31, 2025. The December 31, 2025, balance sheet information was derived from our audited financial statements included in the Company's Annual Report on Form 10-K for the year ended December 31, 2025.</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Significant Accounting Policies </w:t>
      </w:r>
    </w:p>
    <w:p>
      <w:pPr>
        <w:pStyle w:val="TextBody"/>
        <w:bidi w:val="0"/>
        <w:spacing w:lineRule="auto" w:line="285" w:before="0" w:after="200"/>
        <w:ind w:left="0" w:right="0" w:firstLine="490"/>
        <w:jc w:val="both"/>
        <w:rPr>
          <w:rFonts w:ascii="Times New Roman;Times;serif" w:hAnsi="Times New Roman;Times;serif"/>
          <w:sz w:val="20"/>
        </w:rPr>
      </w:pPr>
      <w:r>
        <w:rPr>
          <w:rFonts w:ascii="Times New Roman;Times;serif" w:hAnsi="Times New Roman;Times;serif"/>
          <w:i/>
          <w:sz w:val="20"/>
        </w:rPr>
        <w:t xml:space="preserve">Principles of Consolidation. </w:t>
      </w:r>
      <w:r>
        <w:rPr>
          <w:rFonts w:ascii="Times New Roman;Times;serif" w:hAnsi="Times New Roman;Times;serif"/>
          <w:sz w:val="20"/>
        </w:rPr>
        <w:t xml:space="preserve">The condensed consolidated financial statements as of March 31, 2026, and December 31, 2025,and for the three months ended March 31, 2026, and 2025, include the accounts of the Company and its wholly-owned subsidiaries, Dawson Operating LLC, Dawson Seismic Services Holdings, Inc., Eagle Canada, Inc., Eagle Canada Seismic Services ULC, and Exploration Surveys, Inc. All significant intercompany balances and transactions have been eliminated in consolidation. </w:t>
      </w:r>
    </w:p>
    <w:p>
      <w:pPr>
        <w:pStyle w:val="TextBody"/>
        <w:bidi w:val="0"/>
        <w:spacing w:lineRule="auto" w:line="285" w:before="0" w:after="200"/>
        <w:ind w:left="0" w:right="0" w:firstLine="490"/>
        <w:jc w:val="both"/>
        <w:rPr>
          <w:rFonts w:ascii="Times New Roman;Times;serif" w:hAnsi="Times New Roman;Times;serif"/>
          <w:sz w:val="20"/>
        </w:rPr>
      </w:pPr>
      <w:r>
        <w:rPr>
          <w:rFonts w:ascii="Times New Roman;Times;serif" w:hAnsi="Times New Roman;Times;serif"/>
          <w:i/>
          <w:sz w:val="20"/>
        </w:rPr>
        <w:t xml:space="preserve">Dividends. </w:t>
      </w:r>
      <w:r>
        <w:rPr>
          <w:rFonts w:ascii="Times New Roman;Times;serif" w:hAnsi="Times New Roman;Times;serif"/>
          <w:sz w:val="20"/>
        </w:rPr>
        <w:t>The Company records dividends declared as an addition to accumulated deficit when declaration of such dividends is not subject to restrictions in the jurisdictions in which the Company operates, or in conflict with information in the Company’s bylaws.</w:t>
      </w:r>
    </w:p>
    <w:p>
      <w:pPr>
        <w:pStyle w:val="TextBody"/>
        <w:bidi w:val="0"/>
        <w:spacing w:lineRule="auto" w:line="285" w:before="0" w:after="200"/>
        <w:ind w:left="0" w:right="0" w:firstLine="490"/>
        <w:jc w:val="both"/>
        <w:rPr>
          <w:rFonts w:ascii="Times New Roman;Times;serif" w:hAnsi="Times New Roman;Times;serif"/>
          <w:sz w:val="20"/>
        </w:rPr>
      </w:pPr>
      <w:r>
        <w:rPr>
          <w:rFonts w:ascii="Times New Roman;Times;serif" w:hAnsi="Times New Roman;Times;serif"/>
          <w:i/>
          <w:sz w:val="20"/>
        </w:rPr>
        <w:t>Allowance</w:t>
      </w:r>
      <w:r>
        <w:rPr>
          <w:rFonts w:ascii="Times New Roman;Times;serif" w:hAnsi="Times New Roman;Times;serif"/>
          <w:sz w:val="20"/>
        </w:rPr>
        <w:t xml:space="preserve"> </w:t>
      </w:r>
      <w:r>
        <w:rPr>
          <w:rFonts w:ascii="Times New Roman;Times;serif" w:hAnsi="Times New Roman;Times;serif"/>
          <w:i/>
          <w:sz w:val="20"/>
        </w:rPr>
        <w:t xml:space="preserve">for Current Expected Credit Losses. </w:t>
      </w:r>
      <w:r>
        <w:rPr>
          <w:rFonts w:ascii="Times New Roman;Times;serif" w:hAnsi="Times New Roman;Times;serif"/>
          <w:sz w:val="20"/>
        </w:rPr>
        <w:t>The Company’s allowance for credit losses reflects its current estimate expected to be incurred over the life of the financial instrument and is determined based on a number of factors. Management determines the need for any allowance for credit losses on accounts receivable based on its review of past-due accounts, its past experience of historical write-offs, its current client base, when customer accounts exceed 90 days past due and specific customer account reviews. While the collectability of outstanding client invoices is continually assessed, the inherent volatility of the energy industry’s business cycle can cause swift and unpredictable changes in the financial stability of the Company’s clients. with the adoption of ASU No. 2016-13 in 2020, the Company made an accounting policy election to write off accrued interest amounts by reversing interest income. For the three months ended March 31, 2026, the Company incurred no credit losses. For the three months ended March 31, 2025 the Company incurred $177,000 of credit losses. The Company's allowance for credit losses was $250,000 at March 31, 2026 and December 31, 2025.</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Leases</w:t>
      </w:r>
      <w:r>
        <w:rPr>
          <w:rFonts w:ascii="Times New Roman;Times;serif" w:hAnsi="Times New Roman;Times;serif"/>
          <w:sz w:val="20"/>
        </w:rPr>
        <w:t>. The Company leases certain vehicles, seismic recording equipment, real property and office equipment under lease agreements. The Company evaluates each lease to determine its appropriate classification as a finance lease or an operating lease for financial reporting purposes. The assets and liabilities under finance leases are recorded at the lower of the present value of the minimum lease payments or the fair market value of the related assets. Assets under finance leases are amortized using the straight-line method over the initial lease term. Amortization of assets under finance leases is included in depreciation expense. For operating leases, where readily determinable, the Company uses the implicit interest rate in determining the present value of future minimum lease payments. In the absence of an implicit rate, the Company uses its incremental borrowing rate. The right-of-use assets are amortized to operating lease cost over the lease terms in a manner that results in straight-line operating lease cost and is included in operating expense. Several of the Company’s leases include options to renew and the exercise of lease renewal options is primarily at the Company’s discretion.</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Property and Equipment. </w:t>
      </w:r>
      <w:r>
        <w:rPr>
          <w:rFonts w:ascii="Times New Roman;Times;serif" w:hAnsi="Times New Roman;Times;serif"/>
          <w:sz w:val="20"/>
        </w:rPr>
        <w:t>Property and equipment is capitalized at historical cost or the fair value of assets acquired in a business combination and is depreciated over the useful life of the asset. Management’s estimation of this useful life is based on circumstances that exist in the seismic industry and information available at the time of the purchase of the asset. As circumstances change and new information becomes available, these estimates could change. Depreciation is computed using the straight-line method. When assets are retired or otherwise disposed of, the cost and related accumulated depreciation are removed from the balance sheet, and any resulting gain or loss is reflected in the results of operations for the period.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Impairment of Long-lived Assets. </w:t>
      </w:r>
      <w:r>
        <w:rPr>
          <w:rFonts w:ascii="Times New Roman;Times;serif" w:hAnsi="Times New Roman;Times;serif"/>
          <w:sz w:val="20"/>
        </w:rPr>
        <w:t xml:space="preserve">Long-lived assets are tested for impairment at the asset group level when events or changes in circumstances indicate the carrying value of the asset group may not be recoverable. Recognition of an impairment charge is required if future expected undiscounted net cash flows are insufficient to recover the carrying value of the asset group and the fair value of the asset group is below its carrying value. Depending upon the facts and circumstances, when indicators of asset impairment exist, management will test the asset group for impairment through developing a forecast of future undiscounted cash flows expected to be generated by the asset group or by estimating the fair value of assets within the asset group in lieu of detailed cash flow projections. If either the future undiscounted cashflows expected to be generated by the asset group or the fair of the assets within the asset group exceeds the carrying value of the asset group no impairment would be recognized. No impairment test was required during the quarter ended March 31, 2026, or the year ended December 31, 2025 and no impairment charges were recognized during those periods.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Use of Estimates in the Preparation of Financial Statements.</w:t>
      </w:r>
      <w:r>
        <w:rPr>
          <w:rFonts w:ascii="Times New Roman;Times;serif" w:hAnsi="Times New Roman;Times;serif"/>
          <w:sz w:val="20"/>
        </w:rPr>
        <w:t xml:space="preserve"> Preparation of the accompanying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Because of the use of assumptions and estimates inherent in the reporting process, actual results could differ from those estimates.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Services are provided under cancelable service contracts which usually have an original expected duration of one year or less. These contracts are either “turnkey” or “term” agreements. Under both types of agreements, the Company recognizes revenues as the services are performed. Revenue is generally recognized based on receivers laid out and picked up compared to total receivers anticipated to be recorded on the survey using the total estimated revenue for the service contract. In the case of a cancelled service contract, the client is billed and revenue is recognized for any third-party charges and square miles of data recorded up to the date of cancellation.</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Company receives reimbursements for certain out-of-pocket expenses under the terms of the service contracts. The amounts billed to clients are included at their gross amount in the total estimated revenue for the service contract.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Clients are billed as permitted by the service contract. Contract assets and contract liabilities are the result of timing differences between revenue recognition, billings and cash collections. If billing occurs prior to the revenue recognition or billing exceeds the revenue recognized, the amount is considered deferred revenue and a contract liability. Conversely, if the revenue recognition exceeds the billing, the excess is considered an unbilled receivable and a contract asset. As services are performed, those deferred revenue amounts are recognized as revenue.</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In some instances, third-party permitting, surveying, drilling, helicopter, equipment rental and mobilization costs that directly relate to the contract are utilized to fulfill the contract obligations. These fulfillment costs are included in prepaid expenses and other current assets and generally amortized based on the total square miles of data recorded compared to total square miles anticipated to be recorded on the survey using the total estimated fulfillment costs for the service contract.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Estimates for total revenue and total fulfillment cost on any service contract are based on certain qualitative and quantitative judgments. Management considers a variety of factors such as whether various components of the performance obligation will be performed internally or externally, cost of third party services, and facts and circumstances unique to the performance obligation in making these estimates.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Additionally, the Company’s policy includes (i) ignoring the financing component when estimating the transaction price for service contracts completed within one year, (ii) excluding sales tax collected from the customer when determining the transaction price, and (iii) expensing incremental costs to obtain a customer contract if the amortization period for those costs would otherwise be one year or less. See note 5 for additional disclosures related to disaggregated revenue.</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Share-based compensation. </w:t>
      </w:r>
      <w:r>
        <w:rPr>
          <w:rFonts w:ascii="Times New Roman;Times;serif" w:hAnsi="Times New Roman;Times;serif"/>
          <w:sz w:val="20"/>
        </w:rPr>
        <w:t>We measure and record compensation expense for share-based payment awards to employees and outside directors based on estimated grant date fair values. Grant date fair value is determined by averaging the high and low stock price on the grant date. We recognize compensation costs for awards granted over the requisite service period based on the grant date fair value in fee operating expenses and general and administrative expenses on our consolidated statements of operations. During the three months ended March 31, 2026 and 2025, we granted 0 and 0 shares, respectively. For the three months ended March 31, 2026, we recognized expense related to restricted stock unit awards of $19,000 and $28,000 in fee operating expenses and general and administrative expenses, respectively. Additionally, we recognize forfeitures of share-based compensation as they occur.</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Risks and Uncertainties.</w:t>
      </w:r>
      <w:r>
        <w:rPr>
          <w:rFonts w:ascii="Times New Roman;Times;serif" w:hAnsi="Times New Roman;Times;serif"/>
          <w:sz w:val="20"/>
        </w:rPr>
        <w:t xml:space="preserve"> The Company’s ability to be profitable in the future will depend on many factors beyond its control, but primarily on the level of demand for land-based seismic data acquisition services by oil and natural gas exploration and development companies. The Company generated net income of $7.7 million and $1.0 million for the three months ended March 31, 2026 and 2025, respectively. As of March 31, 2026, the Company had $1.4 million in cash, and a positive working capital balance of $0.4 million. We believe that our cash flows from operations, and our current financial position are adequate to fund our continued operations.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sz w:val="20"/>
        </w:rPr>
        <w:t>Recently Issued Accounting Pronouncements</w:t>
      </w:r>
      <w:r>
        <w:rPr>
          <w:rFonts w:ascii="Times New Roman;Times;serif" w:hAnsi="Times New Roman;Times;serif"/>
          <w:sz w:val="20"/>
        </w:rPr>
        <w:t xml:space="preserve">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xml:space="preserve"> ASU 2024-03 enhances the disclosures required for certain expense captions in the Company's annual and interim consolidated financial statements. This ASU is effective prospectively or retrospectively for fiscal years beginning after December 15, 2026, and for interim reporting periods beginning after December 15, 2027. Early adoption is permitted. The Company is currently evaluating the impact of this standard on its disclosures.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Credit Losses (Topic 326): Measurement of Credit Losses for Accounts Receivable and Contract Assets</w:t>
      </w:r>
      <w:r>
        <w:rPr>
          <w:rFonts w:ascii="Times New Roman;Times;serif" w:hAnsi="Times New Roman;Times;serif"/>
          <w:sz w:val="20"/>
        </w:rPr>
        <w:t>. This ASU introduces a practical expedient to simplify the application of Topic 326, Financial Instruments - Credit Losses, to current accounts receivable and current contract assets arising from revenue transactions accounted for under topic 606, Revenue from Contracts with Customers. This ASU was implemented January 1, 2026, and did not have a material impact on our disclosures.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This ASU intends to improve the guidance for interim reporting and clarify when that guidance is applicable.  ASU 2025-11 provides a comprehensive list of required disclosures and also requires entities to disclose events since the last annual reporting period that have a material impact on the entity. ASU 2025-11 is effective for interim reporting periods within annual reporting periods beginning after December 15, 2027. Early adoption is permitted. The Company is currently evaluating the impact of ASU 2025-11 on its financial statements and related disclosures.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3. EQUIPMENT PURCHASE AGREEMENT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August 2025, Dawson Operating LLC (“Dawson Operating”), a wholly-owned subsidiary of Dawson Geophysical Company, entered into an equipment purchase agreement with GTC, Inc. (“GTC”), a wholly-owned subsidiary of Geospace Technologies Corporation (“Geospace”), pursuant to which, among other things, Dawson Operating agreed to acquire new single point node channels from GTC for an aggregate purchase price of approximately $24.2 million (the “Equipment Purchase Agreement”) subject to the terms and conditions thereof. The Company paid cash of approximately $4.8 million upon execution of the Equipment Purchase Agreement, agreed to pay approximately $1.2 million in cash upon final delivery, and agreed to finance approximately $18.2 million through separate promissory notes to be issued in connection with each delivery of equipment (each, a “Geospace Note” and collectively, the “Geospace Notes”). Each Geospace Note is payable by Dawson Geophysical Company and Dawson Operating, jointly and severally, to GTC. The Geospace Notes each have a term of 36 months, bear a fixed interest rate of 8.75% annually and may be prepaid in whole or in part at any time without penalty.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2026, we paid the remaining cash payment of $0.9 million and entered into the final Geospace note for $2.7 million. As of March 31, 2026, the Company has taken delivery of all the contracted equipment and issued six Geospace Notes with an aggregate principal of approximately $18.2 million, with $16.1 million outstanding at March 31,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4. FAIR VALUE OF FINANCIAL INSTRUMENTS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At March 31, 2026 and December 31, 2025, the Company’s financial instruments included cash and cash equivalents, accounts receivable, other current assets, accounts payable, other current liabilities, notes payable, finance leases and operating lease liabilities. Due to the short-term maturities of cash and cash equivalents, accounts receivable, other current assets, accounts payable and other current liabilities, the carrying amounts approximate fair value at the respective balance sheet dates. The carrying value of the notes payable approximate their fair value based on comparisons with the prevailing market interest rate. The fair values of the Company’s notes payable are level 2 measurements in the fair value hierarchy.</w:t>
      </w:r>
    </w:p>
    <w:p>
      <w:pPr>
        <w:pStyle w:val="TextBody"/>
        <w:bidi w:val="0"/>
        <w:spacing w:lineRule="auto" w:line="314" w:before="0" w:after="12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5. OPERATING SEGMENTS</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Company’s chief operating decision maker (President and Chief Executive Officer) reviews the discrete segment financial information on a geographic basis for the U.S. operations and Canada Operations. As a result, our business has two reportable segments, US operations and Canada Operations. The revenue for both of the Company’s segments is generated by the same services, which utilize the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sz w:val="20"/>
        </w:rPr>
      </w:pPr>
      <w:bookmarkStart w:id="477" w:name="Tc_8wZfUjAYRkO4ojrjVJ3gwg_29_7"/>
      <w:bookmarkStart w:id="478" w:name="Tc_cPg9K2RTU0-8f_EqvxvFjQ_29_4"/>
      <w:bookmarkStart w:id="479" w:name="Tc_xuXz-WDAzU27CA2VhRJgVg_29_1"/>
      <w:bookmarkStart w:id="480" w:name="Tc_jHkAsmZBuUOxVkczLlZGfA_29_0"/>
      <w:bookmarkStart w:id="481" w:name="Tc_LM7HkocMDkuchcwJ2hI8XQ_27_7"/>
      <w:bookmarkStart w:id="482" w:name="Tc_rLPBTsoL_kiipeCerku0CA_27_4"/>
      <w:bookmarkStart w:id="483" w:name="Tc_KiASpMrzSUG3e9jEz6Sl-A_27_1"/>
      <w:bookmarkStart w:id="484" w:name="Tc_ULr-4RTX-EyGPNKiTB4thA_27_0"/>
      <w:bookmarkStart w:id="485" w:name="Tc_B5-ijjCA4EGTHXf_lzTYXQ_26_2"/>
      <w:bookmarkStart w:id="486" w:name="Tc_CL9IiE0o30qzqYHZgdS_kQ_26_0"/>
      <w:bookmarkStart w:id="487" w:name="Tc_i14m-kIwekykcvkTeanKrw_25_0"/>
      <w:bookmarkStart w:id="488" w:name="Tc_4C09B_ZYPUKPqE8SiWR8Bw_24_7"/>
      <w:bookmarkStart w:id="489" w:name="Tc_3_KMdSxJckKUMDFkfAmSdA_24_4"/>
      <w:bookmarkStart w:id="490" w:name="Tc_0pMLN8_TYk6zdZOsiwZiUg_24_1"/>
      <w:bookmarkStart w:id="491" w:name="Tc_42nt0k9xR0ilDNRH6EA2Og_24_0"/>
      <w:bookmarkStart w:id="492" w:name="Tc_NRaqvUGpiEudVttKqN3lYQ_23_5"/>
      <w:bookmarkStart w:id="493" w:name="Tc_ML61_otSWUKybZFOfFxjrw_23_0"/>
      <w:bookmarkStart w:id="494" w:name="Tc_cYKQ5tAR30O137RKXR6tLQ_22_0"/>
      <w:bookmarkStart w:id="495" w:name="Tc_bV5QtrIGHke1CPL2fxNCHg_21_5"/>
      <w:bookmarkStart w:id="496" w:name="Tc_a7D5z7AVhEGCQWfWnmo1RQ_21_0"/>
      <w:bookmarkStart w:id="497" w:name="Tc_bgMEksea4kGARKLUHF4C8A_20_0"/>
      <w:bookmarkStart w:id="498" w:name="Tc_vaomtTINk0OgI2x4XPK2KQ_19_0"/>
      <w:bookmarkStart w:id="499" w:name="Tc_RANOq6WVI0qvONoG5KnWlw_18_0"/>
      <w:bookmarkStart w:id="500" w:name="Tc_gnJCFnwRmEmo9Zn5k5KBRw_16_0"/>
      <w:bookmarkStart w:id="501" w:name="Tc_ZZYb5ed2Nk66mr_TG8xeTw_13_0"/>
      <w:bookmarkStart w:id="502" w:name="Tc_dkJby8SLp0GHDmR0IckUPw_12_0"/>
      <w:bookmarkStart w:id="503" w:name="Tc_urHbDGAzW0qRhvZdIUBQgQ_11_0"/>
      <w:bookmarkStart w:id="504" w:name="Tc_68D8v9G5CU-5Wnc8AgGZuw_10_0"/>
      <w:bookmarkStart w:id="505" w:name="Tc_22zJdCeVjU6fZhHhFeGfoQ_9_0"/>
      <w:bookmarkStart w:id="506" w:name="Tc_cQC70ejkjEumgna9TykR_w_8_0"/>
      <w:bookmarkStart w:id="507" w:name="Tc_oGJCr4KzCUyhsrTofUDVJA_5_0"/>
      <w:bookmarkStart w:id="508" w:name="Tc_2tzGXlWFL0mtj26yehaSCA_4_7"/>
      <w:bookmarkStart w:id="509" w:name="Tc_j0-J11kzPUKYnlNe8Oh1Cw_4_4"/>
      <w:bookmarkStart w:id="510" w:name="Tc_iQnX24munkWmKLEthflmRw_4_1"/>
      <w:bookmarkStart w:id="511" w:name="Tc_7S7DUXHiFkqQpvRQLnf5Dw_4_0"/>
      <w:bookmarkStart w:id="512" w:name="Tc_iDEMjkglS0K-pEpeX2IDlQ_3_0"/>
      <w:bookmarkStart w:id="513" w:name="Tc_qDn-5VDtLUyBPhXR2LH8Jg_2_7"/>
      <w:bookmarkStart w:id="514" w:name="Tc_qWxAnxkzKUiPcXEak4rMmg_2_4"/>
      <w:bookmarkStart w:id="515" w:name="Tc_SQVNH7yPqE6-6_NZ2DtMuw_2_1"/>
      <w:bookmarkStart w:id="516" w:name="Tc_ooHZLdhCSUSdKGh91unEAw_1_1"/>
      <w:bookmarkStart w:id="517" w:name="_1f562654_9e54_4617_bead_4257825d35e7"/>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rPr>
          <w:rFonts w:ascii="Times New Roman;Times;serif" w:hAnsi="Times New Roman;Times;serif"/>
          <w:sz w:val="20"/>
        </w:rPr>
        <w:t>same type of equipment and personnel. The performance of our segments is evaluated primarily on Adjusted EBITDA. We define Adjusted EBITDA as our net income (loss), before (i) interest expense, net, (ii) income tax expense or benefit, (iii) depreciation and amortization and (iv) non-recurring and other charges, such as strategic transaction expenses or severance expenses.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Beginning in the year ended December 31, 2024, a portion of the management charges incurred by the U.S. segment were allocated to the Canadian segment based upon an activity level determined to be appropriate by management. These charges totaled approximately $138,000 and $160,000 for the three months ended March 31, 2026 and 2025, respectively.</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tables present the Company’s income statements by operating segment (in thousands):</w:t>
      </w:r>
    </w:p>
    <w:tbl>
      <w:tblPr>
        <w:tblW w:w="8283" w:type="dxa"/>
        <w:jc w:val="left"/>
        <w:tblInd w:w="0" w:type="dxa"/>
        <w:tblLayout w:type="fixed"/>
        <w:tblCellMar>
          <w:top w:w="0" w:type="dxa"/>
          <w:left w:w="0" w:type="dxa"/>
          <w:bottom w:w="0" w:type="dxa"/>
          <w:right w:w="0" w:type="dxa"/>
        </w:tblCellMar>
      </w:tblPr>
      <w:tblGrid>
        <w:gridCol w:w="4036"/>
        <w:gridCol w:w="338"/>
        <w:gridCol w:w="952"/>
        <w:gridCol w:w="111"/>
        <w:gridCol w:w="401"/>
        <w:gridCol w:w="1129"/>
        <w:gridCol w:w="111"/>
        <w:gridCol w:w="258"/>
        <w:gridCol w:w="793"/>
        <w:gridCol w:w="154"/>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562860" cy="175260"/>
                      <wp:effectExtent l="0" t="0" r="0" b="0"/>
                      <wp:wrapNone/>
                      <wp:docPr id="65" name="Frame65"/>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4630" cy="175260"/>
                      <wp:effectExtent l="0" t="0" r="0" b="0"/>
                      <wp:wrapNone/>
                      <wp:docPr id="66" name="Frame66"/>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04520" cy="175260"/>
                      <wp:effectExtent l="0" t="0" r="0" b="0"/>
                      <wp:wrapNone/>
                      <wp:docPr id="67" name="Frame67"/>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0485" cy="175260"/>
                      <wp:effectExtent l="0" t="0" r="0" b="0"/>
                      <wp:wrapNone/>
                      <wp:docPr id="68" name="Frame68"/>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54635" cy="175260"/>
                      <wp:effectExtent l="0" t="0" r="0" b="0"/>
                      <wp:wrapNone/>
                      <wp:docPr id="69" name="Frame69"/>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16915" cy="175260"/>
                      <wp:effectExtent l="0" t="0" r="0" b="0"/>
                      <wp:wrapNone/>
                      <wp:docPr id="70" name="Frame70"/>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0485" cy="175260"/>
                      <wp:effectExtent l="0" t="0" r="0" b="0"/>
                      <wp:wrapNone/>
                      <wp:docPr id="71" name="Frame71"/>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3830" cy="175260"/>
                      <wp:effectExtent l="0" t="0" r="0" b="0"/>
                      <wp:wrapNone/>
                      <wp:docPr id="72" name="Frame7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03555" cy="175260"/>
                      <wp:effectExtent l="0" t="0" r="0" b="0"/>
                      <wp:wrapNone/>
                      <wp:docPr id="73" name="Frame7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7790" cy="175260"/>
                      <wp:effectExtent l="0" t="0" r="0" b="0"/>
                      <wp:wrapNone/>
                      <wp:docPr id="74" name="Frame7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4093" w:type="dxa"/>
            <w:gridSpan w:val="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2026</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11" w:type="dxa"/>
            <w:tcBorders/>
            <w:vAlign w:val="center"/>
          </w:tcPr>
          <w:p>
            <w:pPr>
              <w:pStyle w:val="TableContents"/>
              <w:bidi w:val="0"/>
              <w:spacing w:lineRule="auto" w:line="285" w:before="0" w:after="0"/>
              <w:ind w:left="0" w:right="0" w:hanging="0"/>
              <w:jc w:val="center"/>
              <w:rPr/>
            </w:pPr>
            <w:r>
              <w:rPr/>
              <w:t>​</w:t>
            </w:r>
          </w:p>
        </w:tc>
        <w:tc>
          <w:tcPr>
            <w:tcW w:w="153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11" w:type="dxa"/>
            <w:tcBorders/>
            <w:vAlign w:val="center"/>
          </w:tcPr>
          <w:p>
            <w:pPr>
              <w:pStyle w:val="TableContents"/>
              <w:bidi w:val="0"/>
              <w:spacing w:lineRule="auto" w:line="285"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952" w:type="dxa"/>
            <w:tcBorders/>
            <w:shd w:fill="CCEEFF" w:val="clear"/>
            <w:vAlign w:val="center"/>
          </w:tcPr>
          <w:p>
            <w:pPr>
              <w:pStyle w:val="TableContents"/>
              <w:bidi w:val="0"/>
              <w:spacing w:lineRule="auto" w:line="285" w:before="0" w:after="0"/>
              <w:ind w:left="0" w:right="0" w:hanging="0"/>
              <w:jc w:val="center"/>
              <w:rPr/>
            </w:pPr>
            <w:r>
              <w:rPr/>
              <w:t>​</w:t>
            </w:r>
          </w:p>
        </w:tc>
        <w:tc>
          <w:tcPr>
            <w:tcW w:w="111" w:type="dxa"/>
            <w:tcBorders/>
            <w:shd w:fill="CCEEFF" w:val="clear"/>
            <w:vAlign w:val="center"/>
          </w:tcPr>
          <w:p>
            <w:pPr>
              <w:pStyle w:val="TableContents"/>
              <w:bidi w:val="0"/>
              <w:spacing w:lineRule="auto" w:line="285" w:before="0" w:after="0"/>
              <w:ind w:left="0" w:right="0" w:hanging="0"/>
              <w:jc w:val="center"/>
              <w:rPr/>
            </w:pPr>
            <w:r>
              <w:rPr/>
              <w:t>​</w:t>
            </w:r>
          </w:p>
        </w:tc>
        <w:tc>
          <w:tcPr>
            <w:tcW w:w="401" w:type="dxa"/>
            <w:tcBorders/>
            <w:shd w:fill="CCEEFF" w:val="clear"/>
            <w:vAlign w:val="center"/>
          </w:tcPr>
          <w:p>
            <w:pPr>
              <w:pStyle w:val="TableContents"/>
              <w:bidi w:val="0"/>
              <w:spacing w:lineRule="auto" w:line="285" w:before="0" w:after="0"/>
              <w:ind w:left="0" w:right="0" w:hanging="0"/>
              <w:jc w:val="center"/>
              <w:rPr/>
            </w:pPr>
            <w:r>
              <w:rPr/>
              <w:t>​</w:t>
            </w:r>
          </w:p>
        </w:tc>
        <w:tc>
          <w:tcPr>
            <w:tcW w:w="1129" w:type="dxa"/>
            <w:tcBorders/>
            <w:shd w:fill="CCEEFF" w:val="clear"/>
            <w:vAlign w:val="center"/>
          </w:tcPr>
          <w:p>
            <w:pPr>
              <w:pStyle w:val="TableContents"/>
              <w:bidi w:val="0"/>
              <w:spacing w:lineRule="auto" w:line="285" w:before="0" w:after="0"/>
              <w:ind w:left="0" w:right="0" w:hanging="0"/>
              <w:jc w:val="center"/>
              <w:rPr/>
            </w:pPr>
            <w:r>
              <w:rPr/>
              <w:t>​</w:t>
            </w:r>
          </w:p>
        </w:tc>
        <w:tc>
          <w:tcPr>
            <w:tcW w:w="111" w:type="dxa"/>
            <w:tcBorders/>
            <w:shd w:fill="CCEEFF" w:val="clear"/>
            <w:vAlign w:val="center"/>
          </w:tcPr>
          <w:p>
            <w:pPr>
              <w:pStyle w:val="TableContents"/>
              <w:bidi w:val="0"/>
              <w:spacing w:lineRule="auto" w:line="285" w:before="0" w:after="0"/>
              <w:ind w:left="0" w:right="0" w:hanging="0"/>
              <w:jc w:val="center"/>
              <w:rPr/>
            </w:pPr>
            <w:r>
              <w:rPr/>
              <w:t>​</w:t>
            </w:r>
          </w:p>
        </w:tc>
        <w:tc>
          <w:tcPr>
            <w:tcW w:w="258"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79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338"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20,865</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2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11,643</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32,508</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4,008</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183</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4,191</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left"/>
              <w:rPr/>
            </w:pPr>
            <w:r>
              <w:rPr/>
              <w:t>​</w:t>
            </w:r>
          </w:p>
        </w:tc>
        <w:tc>
          <w:tcPr>
            <w:tcW w:w="95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24,873</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left"/>
              <w:rPr/>
            </w:pPr>
            <w:r>
              <w:rPr/>
              <w:t>​</w:t>
            </w:r>
          </w:p>
        </w:tc>
        <w:tc>
          <w:tcPr>
            <w:tcW w:w="112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11,826</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36,699</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left"/>
              <w:rPr/>
            </w:pPr>
            <w:r>
              <w:rPr/>
              <w:t>​</w:t>
            </w:r>
          </w:p>
        </w:tc>
        <w:tc>
          <w:tcPr>
            <w:tcW w:w="952" w:type="dxa"/>
            <w:tcBorders/>
            <w:shd w:fill="CCEEFF" w:val="clear"/>
            <w:vAlign w:val="center"/>
          </w:tcPr>
          <w:p>
            <w:pPr>
              <w:pStyle w:val="TableContents"/>
              <w:bidi w:val="0"/>
              <w:spacing w:lineRule="auto" w:line="285" w:before="0" w:after="0"/>
              <w:ind w:left="0" w:right="0" w:hanging="0"/>
              <w:jc w:val="lef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left"/>
              <w:rPr/>
            </w:pPr>
            <w:r>
              <w:rPr/>
              <w:t>​</w:t>
            </w:r>
          </w:p>
        </w:tc>
        <w:tc>
          <w:tcPr>
            <w:tcW w:w="1129" w:type="dxa"/>
            <w:tcBorders/>
            <w:shd w:fill="CCEEFF" w:val="clear"/>
            <w:vAlign w:val="center"/>
          </w:tcPr>
          <w:p>
            <w:pPr>
              <w:pStyle w:val="TableContents"/>
              <w:bidi w:val="0"/>
              <w:spacing w:lineRule="auto" w:line="285" w:before="0" w:after="0"/>
              <w:ind w:left="0" w:right="0" w:hanging="0"/>
              <w:jc w:val="lef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338" w:type="dxa"/>
            <w:tcBorders/>
            <w:vAlign w:val="center"/>
          </w:tcPr>
          <w:p>
            <w:pPr>
              <w:pStyle w:val="TableContents"/>
              <w:bidi w:val="0"/>
              <w:spacing w:lineRule="auto" w:line="285" w:before="0" w:after="0"/>
              <w:ind w:left="0" w:right="0" w:hanging="0"/>
              <w:jc w:val="center"/>
              <w:rPr/>
            </w:pPr>
            <w:r>
              <w:rPr/>
              <w:t>​</w:t>
            </w:r>
          </w:p>
        </w:tc>
        <w:tc>
          <w:tcPr>
            <w:tcW w:w="952" w:type="dxa"/>
            <w:tcBorders/>
            <w:vAlign w:val="center"/>
          </w:tcPr>
          <w:p>
            <w:pPr>
              <w:pStyle w:val="TableContents"/>
              <w:bidi w:val="0"/>
              <w:spacing w:lineRule="auto" w:line="285" w:before="0" w:after="0"/>
              <w:ind w:left="0" w:right="0" w:hanging="0"/>
              <w:jc w:val="left"/>
              <w:rPr/>
            </w:pPr>
            <w:r>
              <w:rPr/>
              <w:t>​</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center"/>
              <w:rPr/>
            </w:pPr>
            <w:r>
              <w:rPr/>
              <w:t>​</w:t>
            </w:r>
          </w:p>
        </w:tc>
        <w:tc>
          <w:tcPr>
            <w:tcW w:w="1129" w:type="dxa"/>
            <w:tcBorders/>
            <w:vAlign w:val="center"/>
          </w:tcPr>
          <w:p>
            <w:pPr>
              <w:pStyle w:val="TableContents"/>
              <w:bidi w:val="0"/>
              <w:spacing w:lineRule="auto" w:line="285" w:before="0" w:after="0"/>
              <w:ind w:left="0" w:right="0" w:hanging="0"/>
              <w:jc w:val="left"/>
              <w:rPr/>
            </w:pPr>
            <w:r>
              <w:rPr/>
              <w:t>​</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9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13,882</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center"/>
              <w:rPr/>
            </w:pPr>
            <w:r>
              <w:rPr/>
              <w:t>​</w:t>
            </w:r>
          </w:p>
        </w:tc>
        <w:tc>
          <w:tcPr>
            <w:tcW w:w="112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5,548</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19,430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4,008</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183</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4,191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38" w:type="dxa"/>
            <w:tcBorders/>
            <w:shd w:fill="CCEEFF" w:val="clear"/>
            <w:vAlign w:val="center"/>
          </w:tcPr>
          <w:p>
            <w:pPr>
              <w:pStyle w:val="TableContents"/>
              <w:bidi w:val="0"/>
              <w:spacing w:lineRule="auto" w:line="285" w:before="0" w:after="0"/>
              <w:ind w:left="0" w:right="0" w:hanging="0"/>
              <w:jc w:val="left"/>
              <w:rPr/>
            </w:pPr>
            <w:r>
              <w:rPr/>
              <w:t>​</w:t>
            </w:r>
          </w:p>
        </w:tc>
        <w:tc>
          <w:tcPr>
            <w:tcW w:w="9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17,890</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left"/>
              <w:rPr/>
            </w:pPr>
            <w:r>
              <w:rPr/>
              <w:t>​</w:t>
            </w:r>
          </w:p>
        </w:tc>
        <w:tc>
          <w:tcPr>
            <w:tcW w:w="112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5,731</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23,621</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38" w:type="dxa"/>
            <w:tcBorders/>
            <w:vAlign w:val="center"/>
          </w:tcPr>
          <w:p>
            <w:pPr>
              <w:pStyle w:val="TableContents"/>
              <w:bidi w:val="0"/>
              <w:spacing w:lineRule="auto" w:line="285" w:before="0" w:after="0"/>
              <w:ind w:left="0" w:right="0" w:hanging="0"/>
              <w:jc w:val="center"/>
              <w:rPr/>
            </w:pPr>
            <w:r>
              <w:rPr/>
              <w:t>​</w:t>
            </w:r>
          </w:p>
        </w:tc>
        <w:tc>
          <w:tcPr>
            <w:tcW w:w="95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2,476</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center"/>
              <w:rPr/>
            </w:pPr>
            <w:r>
              <w:rPr/>
              <w:t>​</w:t>
            </w:r>
          </w:p>
        </w:tc>
        <w:tc>
          <w:tcPr>
            <w:tcW w:w="112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465</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2,941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1,766</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2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231</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1,997</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5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22,132</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6,427</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28,559</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952" w:type="dxa"/>
            <w:tcBorders/>
            <w:shd w:fill="CCEEFF" w:val="clear"/>
            <w:vAlign w:val="center"/>
          </w:tcPr>
          <w:p>
            <w:pPr>
              <w:pStyle w:val="TableContents"/>
              <w:bidi w:val="0"/>
              <w:spacing w:lineRule="auto" w:line="285" w:before="0" w:after="0"/>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center"/>
              <w:rPr/>
            </w:pPr>
            <w:r>
              <w:rPr/>
              <w:t>​</w:t>
            </w:r>
          </w:p>
        </w:tc>
        <w:tc>
          <w:tcPr>
            <w:tcW w:w="1129" w:type="dxa"/>
            <w:tcBorders/>
            <w:shd w:fill="CCEEFF" w:val="clear"/>
            <w:vAlign w:val="center"/>
          </w:tcPr>
          <w:p>
            <w:pPr>
              <w:pStyle w:val="TableContents"/>
              <w:bidi w:val="0"/>
              <w:spacing w:lineRule="auto" w:line="285" w:before="0" w:after="0"/>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Income from operations</w:t>
            </w:r>
          </w:p>
        </w:tc>
        <w:tc>
          <w:tcPr>
            <w:tcW w:w="338" w:type="dxa"/>
            <w:tcBorders/>
            <w:vAlign w:val="center"/>
          </w:tcPr>
          <w:p>
            <w:pPr>
              <w:pStyle w:val="TableContents"/>
              <w:bidi w:val="0"/>
              <w:spacing w:lineRule="auto" w:line="285" w:before="0" w:after="0"/>
              <w:ind w:left="0" w:right="0" w:hanging="0"/>
              <w:jc w:val="center"/>
              <w:rPr/>
            </w:pPr>
            <w:r>
              <w:rPr/>
              <w:t>​</w:t>
            </w:r>
          </w:p>
        </w:tc>
        <w:tc>
          <w:tcPr>
            <w:tcW w:w="95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2,741</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center"/>
              <w:rPr/>
            </w:pPr>
            <w:r>
              <w:rPr/>
              <w:t>​</w:t>
            </w:r>
          </w:p>
        </w:tc>
        <w:tc>
          <w:tcPr>
            <w:tcW w:w="112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5,399</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8,140</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952" w:type="dxa"/>
            <w:tcBorders/>
            <w:shd w:fill="CCEEFF" w:val="clear"/>
            <w:vAlign w:val="center"/>
          </w:tcPr>
          <w:p>
            <w:pPr>
              <w:pStyle w:val="TableContents"/>
              <w:bidi w:val="0"/>
              <w:spacing w:lineRule="auto" w:line="285" w:before="0" w:after="0"/>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center"/>
              <w:rPr/>
            </w:pPr>
            <w:r>
              <w:rPr/>
              <w:t>​</w:t>
            </w:r>
          </w:p>
        </w:tc>
        <w:tc>
          <w:tcPr>
            <w:tcW w:w="1129" w:type="dxa"/>
            <w:tcBorders/>
            <w:shd w:fill="CCEEFF" w:val="clear"/>
            <w:vAlign w:val="center"/>
          </w:tcPr>
          <w:p>
            <w:pPr>
              <w:pStyle w:val="TableContents"/>
              <w:bidi w:val="0"/>
              <w:spacing w:lineRule="auto" w:line="285" w:before="0" w:after="0"/>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338" w:type="dxa"/>
            <w:tcBorders/>
            <w:vAlign w:val="center"/>
          </w:tcPr>
          <w:p>
            <w:pPr>
              <w:pStyle w:val="TableContents"/>
              <w:bidi w:val="0"/>
              <w:spacing w:lineRule="auto" w:line="285" w:before="0" w:after="0"/>
              <w:ind w:left="0" w:right="0" w:hanging="0"/>
              <w:jc w:val="center"/>
              <w:rPr/>
            </w:pPr>
            <w:r>
              <w:rPr/>
              <w:t>​</w:t>
            </w:r>
          </w:p>
        </w:tc>
        <w:tc>
          <w:tcPr>
            <w:tcW w:w="952" w:type="dxa"/>
            <w:tcBorders/>
            <w:vAlign w:val="center"/>
          </w:tcPr>
          <w:p>
            <w:pPr>
              <w:pStyle w:val="TableContents"/>
              <w:bidi w:val="0"/>
              <w:spacing w:lineRule="auto" w:line="285" w:before="0" w:after="0"/>
              <w:ind w:left="0" w:right="0" w:hanging="0"/>
              <w:jc w:val="right"/>
              <w:rPr/>
            </w:pPr>
            <w:r>
              <w:rPr/>
              <w:t>​</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center"/>
              <w:rPr/>
            </w:pPr>
            <w:r>
              <w:rPr/>
              <w:t>​</w:t>
            </w:r>
          </w:p>
        </w:tc>
        <w:tc>
          <w:tcPr>
            <w:tcW w:w="1129" w:type="dxa"/>
            <w:tcBorders/>
            <w:vAlign w:val="center"/>
          </w:tcPr>
          <w:p>
            <w:pPr>
              <w:pStyle w:val="TableContents"/>
              <w:bidi w:val="0"/>
              <w:spacing w:lineRule="auto" w:line="285" w:before="0" w:after="0"/>
              <w:ind w:left="0" w:right="0" w:hanging="0"/>
              <w:jc w:val="right"/>
              <w:rPr/>
            </w:pPr>
            <w:r>
              <w:rPr/>
              <w:t>​</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9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center"/>
              <w:rPr/>
            </w:pPr>
            <w:r>
              <w:rPr/>
              <w:t>​</w:t>
            </w:r>
          </w:p>
        </w:tc>
        <w:tc>
          <w:tcPr>
            <w:tcW w:w="112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38" w:type="dxa"/>
            <w:tcBorders/>
            <w:vAlign w:val="center"/>
          </w:tcPr>
          <w:p>
            <w:pPr>
              <w:pStyle w:val="TableContents"/>
              <w:bidi w:val="0"/>
              <w:spacing w:lineRule="auto" w:line="285" w:before="0" w:after="0"/>
              <w:ind w:left="0" w:right="0" w:hanging="0"/>
              <w:jc w:val="center"/>
              <w:rPr/>
            </w:pPr>
            <w:r>
              <w:rPr/>
              <w:t>​</w:t>
            </w:r>
          </w:p>
        </w:tc>
        <w:tc>
          <w:tcPr>
            <w:tcW w:w="95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(484)</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center"/>
              <w:rPr/>
            </w:pPr>
            <w:r>
              <w:rPr/>
              <w:t>​</w:t>
            </w:r>
          </w:p>
        </w:tc>
        <w:tc>
          <w:tcPr>
            <w:tcW w:w="112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(17)</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(501)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2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Income before income tax</w:t>
            </w:r>
          </w:p>
        </w:tc>
        <w:tc>
          <w:tcPr>
            <w:tcW w:w="338" w:type="dxa"/>
            <w:tcBorders/>
            <w:vAlign w:val="center"/>
          </w:tcPr>
          <w:p>
            <w:pPr>
              <w:pStyle w:val="TableContents"/>
              <w:bidi w:val="0"/>
              <w:spacing w:lineRule="auto" w:line="285" w:before="0" w:after="0"/>
              <w:ind w:left="0" w:right="0" w:hanging="0"/>
              <w:jc w:val="center"/>
              <w:rPr/>
            </w:pPr>
            <w:r>
              <w:rPr/>
              <w:t>​</w:t>
            </w:r>
          </w:p>
        </w:tc>
        <w:tc>
          <w:tcPr>
            <w:tcW w:w="95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2,286</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center"/>
              <w:rPr/>
            </w:pPr>
            <w:r>
              <w:rPr/>
              <w:t>​</w:t>
            </w:r>
          </w:p>
        </w:tc>
        <w:tc>
          <w:tcPr>
            <w:tcW w:w="112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5,385</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7,671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Income tax expense</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2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Net income</w:t>
            </w:r>
          </w:p>
        </w:tc>
        <w:tc>
          <w:tcPr>
            <w:tcW w:w="33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2"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2,276</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29"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5,385</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7,661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Other Comprehensive loss:</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952" w:type="dxa"/>
            <w:tcBorders/>
            <w:shd w:fill="CCEEFF" w:val="clear"/>
            <w:vAlign w:val="center"/>
          </w:tcPr>
          <w:p>
            <w:pPr>
              <w:pStyle w:val="TableContents"/>
              <w:bidi w:val="0"/>
              <w:spacing w:lineRule="auto" w:line="285" w:before="0" w:after="0"/>
              <w:ind w:left="0" w:right="0" w:hanging="0"/>
              <w:jc w:val="lef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center"/>
              <w:rPr/>
            </w:pPr>
            <w:r>
              <w:rPr/>
              <w:t>​</w:t>
            </w:r>
          </w:p>
        </w:tc>
        <w:tc>
          <w:tcPr>
            <w:tcW w:w="1129" w:type="dxa"/>
            <w:tcBorders/>
            <w:shd w:fill="CCEEFF" w:val="clear"/>
            <w:vAlign w:val="center"/>
          </w:tcPr>
          <w:p>
            <w:pPr>
              <w:pStyle w:val="TableContents"/>
              <w:bidi w:val="0"/>
              <w:spacing w:lineRule="auto" w:line="285" w:before="0" w:after="0"/>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center"/>
              <w:rPr/>
            </w:pPr>
            <w:r>
              <w:rPr/>
              <w:t>​</w:t>
            </w:r>
          </w:p>
        </w:tc>
        <w:tc>
          <w:tcPr>
            <w:tcW w:w="793"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Net unrealized loss on foreign exchange rate translation</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5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Comprehensive income</w:t>
            </w:r>
          </w:p>
        </w:tc>
        <w:tc>
          <w:tcPr>
            <w:tcW w:w="33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2,276</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2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5,199</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7,475</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Adjusted EBITDA</w:t>
            </w:r>
          </w:p>
        </w:tc>
        <w:tc>
          <w:tcPr>
            <w:tcW w:w="33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5,225</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2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5,630</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10,855</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314" w:before="0" w:after="120"/>
        <w:ind w:left="0" w:right="0" w:firstLine="490"/>
        <w:jc w:val="both"/>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518" w:name="Tc_UFTRUzvaRUCJ2yoeyH9KEg_6_6"/>
      <w:bookmarkStart w:id="519" w:name="Tc_G7mtzLsuC0uuLLMu1JcZnA_6_5"/>
      <w:bookmarkStart w:id="520" w:name="Tc_fo-EZwwG302_DNJUMv1vTg_6_2"/>
      <w:bookmarkStart w:id="521" w:name="Tc_NypVizeITEWbmZBEU-rskA_6_0"/>
      <w:bookmarkStart w:id="522" w:name="Tc_qGQmbzLjLkK3H7xYmcFy2w_5_6"/>
      <w:bookmarkStart w:id="523" w:name="Tc_SquDJpMvdUeUhBYlwSPQew_5_0"/>
      <w:bookmarkStart w:id="524" w:name="Tc_i7G3e5t-F0qndoQ7jjvMmg_4_6"/>
      <w:bookmarkStart w:id="525" w:name="Tc_gmVoTZcFx0mszd69YCNzxg_4_5"/>
      <w:bookmarkStart w:id="526" w:name="Tc_LqCLeJCpiEuryc2uiaT1qQ_4_2"/>
      <w:bookmarkStart w:id="527" w:name="Tc_AR6EdGLUr0uID-FBEyyfYw_4_0"/>
      <w:bookmarkStart w:id="528" w:name="Tc_ZW6X8s87706SM64HKejq-A_3_0"/>
      <w:bookmarkStart w:id="529" w:name="Tc_JzjiMrrzmECBelt4bQQuzA_2_5"/>
      <w:bookmarkStart w:id="530" w:name="Tc_3QbqS-M4TE6epVPwLlpZvg_2_2"/>
      <w:bookmarkStart w:id="531" w:name="Tc_sMM-TsDnoE6Qn9mS0eZgCg_1_5"/>
      <w:bookmarkStart w:id="532" w:name="Tc_jrUKRd4qqUW7_eHSsTUbWQ_1_2"/>
      <w:bookmarkStart w:id="533" w:name="_b389f9a9_4512_4f40_9a7e_418b12a4eee9"/>
      <w:bookmarkStart w:id="534" w:name="Tc_62HE4QkCV0WSf8Mn1njm7Q_7_5"/>
      <w:bookmarkStart w:id="535" w:name="Tc_2uxIf-4N5Eis4FsqD84Vjg_7_2"/>
      <w:bookmarkStart w:id="536" w:name="Tc_g1WMWnEXOkCLVsvKN6MBGw_7_0"/>
      <w:bookmarkStart w:id="537" w:name="Tc_vKc5ExHdNU62VXbz_0hpog_6_0"/>
      <w:bookmarkStart w:id="538" w:name="Tc_jyTM5x--ZkWg_FBl2Nkc-g_5_5"/>
      <w:bookmarkStart w:id="539" w:name="Tc_OwBt3prDmEKHgGSMwLkxVg_5_2"/>
      <w:bookmarkStart w:id="540" w:name="Tc_R-wIKydh0EaM7Po8YOZwkg_5_0"/>
      <w:bookmarkStart w:id="541" w:name="Tc_q3kTzNOddkOg8WDE2d_jxg_4_0"/>
      <w:bookmarkStart w:id="542" w:name="Tc_e0c2mnhBpEW0XyAPJgkukA_3_5"/>
      <w:bookmarkStart w:id="543" w:name="Tc_UQRcusRQPkK5YVlDW5UMrQ_3_2"/>
      <w:bookmarkStart w:id="544" w:name="Tc_uaT60ooiLEa_06RMSobROQ_2_5"/>
      <w:bookmarkStart w:id="545" w:name="Tc_o_76uF4pEEajSlVsFxzm4A_2_2"/>
      <w:bookmarkStart w:id="546" w:name="_1ff11a22_4cc5_47a0_885c_86a4f2facc96"/>
      <w:bookmarkStart w:id="547" w:name="Tc_Vm7VDSP_ZkWsoX09bxLpiA_6_5"/>
      <w:bookmarkStart w:id="548" w:name="Tc_wLIbQUYX-kG0HU7C9jm-sQ_6_2"/>
      <w:bookmarkStart w:id="549" w:name="Tc_36yMuhhXjkWQustAcpsUBw_6_0"/>
      <w:bookmarkStart w:id="550" w:name="Tc_gwZj6SWp6EKVMGUfa3FvXA_5_0"/>
      <w:bookmarkStart w:id="551" w:name="Tc_HF-Lxpb3SkmGFN0XslF2lA_4_5"/>
      <w:bookmarkStart w:id="552" w:name="Tc_acOrt7vejE6Klwc0L7UU3Q_4_2"/>
      <w:bookmarkStart w:id="553" w:name="Tc_UYstq-gLWUSJmqN_d73DBA_4_0"/>
      <w:bookmarkStart w:id="554" w:name="Tc_4zLhdy3pDESWwKZdvEg5gg_3_0"/>
      <w:bookmarkStart w:id="555" w:name="Tc_9c0mOKb240mdQlGFZJyDmw_2_5"/>
      <w:bookmarkStart w:id="556" w:name="Tc_BG-Gax0-_kGEd2yKrgU6Kw_2_2"/>
      <w:bookmarkStart w:id="557" w:name="Tc_pSimq0Jtx0yjObs08U7DEw_1_5"/>
      <w:bookmarkStart w:id="558" w:name="Tc_vPbfSaUg1kWJUBssa5ixdA_1_2"/>
      <w:bookmarkStart w:id="559" w:name="_d25d2b98_c03c_410b_954b_14418422daeb"/>
      <w:bookmarkStart w:id="560" w:name="Tc__W3Ls-fFH0CNh3XVe-YVWw_29_7"/>
      <w:bookmarkStart w:id="561" w:name="Tc_L_IB3EnGjkKL5qVgV5DmCA_29_4"/>
      <w:bookmarkStart w:id="562" w:name="Tc_8da_2q-iAkif4cbPX9Wy2w_29_1"/>
      <w:bookmarkStart w:id="563" w:name="Tc_WvxZs7ddwUy8j4_v5QTKwA_29_0"/>
      <w:bookmarkStart w:id="564" w:name="Tc_OR1c6fV9VUClSqPwTDtpIQ_27_7"/>
      <w:bookmarkStart w:id="565" w:name="Tc_b15Xtow6YESYtDafYfoNDw_27_4"/>
      <w:bookmarkStart w:id="566" w:name="Tc_Q3SpuOVrz0yU5MBWSnaEAA_27_1"/>
      <w:bookmarkStart w:id="567" w:name="Tc_xAzOu-CPXUuNKAsq9S5aTQ_27_0"/>
      <w:bookmarkStart w:id="568" w:name="Tc_EMjyXH28f0-_4Snao3RlgA_26_2"/>
      <w:bookmarkStart w:id="569" w:name="Tc_IKVDRtszDE-on0uHZubRjQ_26_0"/>
      <w:bookmarkStart w:id="570" w:name="Tc_KTDJBIH220OsGJolqPBFEw_25_0"/>
      <w:bookmarkStart w:id="571" w:name="Tc_hZnPKaTkt0aKVitOANsZcA_24_7"/>
      <w:bookmarkStart w:id="572" w:name="Tc_P8ooXxYhOkm5lwwkPElLaQ_24_4"/>
      <w:bookmarkStart w:id="573" w:name="Tc_3L3OAGIrXkartRNSFhYIQQ_24_1"/>
      <w:bookmarkStart w:id="574" w:name="Tc_J2U_7dKhgUyMDPbt1AN1xQ_24_0"/>
      <w:bookmarkStart w:id="575" w:name="Tc_lk8ioI3-kE2iqQGvHMAd6w_23_5"/>
      <w:bookmarkStart w:id="576" w:name="Tc_QUCLogQpRUiUXNEz5XSzMw_23_0"/>
      <w:bookmarkStart w:id="577" w:name="Tc_LcvjABRp20mR0V_PdQSfTA_22_0"/>
      <w:bookmarkStart w:id="578" w:name="Tc_cJwKd-T6n0uNIU9RImvaJQ_21_0"/>
      <w:bookmarkStart w:id="579" w:name="Tc_YIAuBht6VUe2Q-OAVgIMbA_20_0"/>
      <w:bookmarkStart w:id="580" w:name="Tc_JlDEeyA-6EOroQDZ0tzO3A_19_2"/>
      <w:bookmarkStart w:id="581" w:name="Tc_-YnhOCUeO0qrANr7wlWPgA_19_0"/>
      <w:bookmarkStart w:id="582" w:name="Tc_3uNO1znKS0mUJEaNs5-bgQ_18_0"/>
      <w:bookmarkStart w:id="583" w:name="Tc_XgY1FrB04kCCLkxrrgjl-w_16_0"/>
      <w:bookmarkStart w:id="584" w:name="Tc_NoFoTxbjeUKlaEo5c7xrhg_13_0"/>
      <w:bookmarkStart w:id="585" w:name="Tc_bcimNGzjBEuv4-QQrZfxkQ_12_0"/>
      <w:bookmarkStart w:id="586" w:name="Tc_wLEmGUwtL0OFH-qfjwq2kQ_11_0"/>
      <w:bookmarkStart w:id="587" w:name="Tc_ZiOsFLTauU6DAOxBLL0oLA_10_0"/>
      <w:bookmarkStart w:id="588" w:name="Tc_NfL3Jt7rc06FUknDJHSRbA_9_0"/>
      <w:bookmarkStart w:id="589" w:name="Tc_Y9VGXDgi4EyT50pk10sfJw_8_0"/>
      <w:bookmarkStart w:id="590" w:name="Tc_n_sMPNk47U-4ArGgTUgYJQ_5_0"/>
      <w:bookmarkStart w:id="591" w:name="Tc_bFYw0P5xKEWCNeZNgCIg5Q_4_7"/>
      <w:bookmarkStart w:id="592" w:name="Tc_uEjVnryT9EWjfmjPNs3GcQ_4_4"/>
      <w:bookmarkStart w:id="593" w:name="Tc_9h4b-QWdwkueuTWSV1NsMQ_4_1"/>
      <w:bookmarkStart w:id="594" w:name="Tc_tnDPVgqMYUC483Y5bK8x3g_4_0"/>
      <w:bookmarkStart w:id="595" w:name="Tc_QE-OCTWyREWzMqmJuiz6RQ_3_0"/>
      <w:bookmarkStart w:id="596" w:name="Tc_grCBP6DByUmSDqd0VzZ3sg_2_7"/>
      <w:bookmarkStart w:id="597" w:name="Tc_hpQcDyxJe0etLL4JmWecwQ_2_4"/>
      <w:bookmarkStart w:id="598" w:name="Tc_jku-yOujxEOQnHmaZDRB-Q_2_1"/>
      <w:bookmarkStart w:id="599" w:name="Tc_VCr8ZZtu_U67x7RD9VMokg_1_1"/>
      <w:bookmarkStart w:id="600" w:name="_949f43fc_c59a_4b5f_ae74_4cb8d729f5fe"/>
      <w:bookmarkStart w:id="601" w:name="Tc_UFTRUzvaRUCJ2yoeyH9KEg_6_6"/>
      <w:bookmarkStart w:id="602" w:name="Tc_G7mtzLsuC0uuLLMu1JcZnA_6_5"/>
      <w:bookmarkStart w:id="603" w:name="Tc_fo-EZwwG302_DNJUMv1vTg_6_2"/>
      <w:bookmarkStart w:id="604" w:name="Tc_NypVizeITEWbmZBEU-rskA_6_0"/>
      <w:bookmarkStart w:id="605" w:name="Tc_qGQmbzLjLkK3H7xYmcFy2w_5_6"/>
      <w:bookmarkStart w:id="606" w:name="Tc_SquDJpMvdUeUhBYlwSPQew_5_0"/>
      <w:bookmarkStart w:id="607" w:name="Tc_i7G3e5t-F0qndoQ7jjvMmg_4_6"/>
      <w:bookmarkStart w:id="608" w:name="Tc_gmVoTZcFx0mszd69YCNzxg_4_5"/>
      <w:bookmarkStart w:id="609" w:name="Tc_LqCLeJCpiEuryc2uiaT1qQ_4_2"/>
      <w:bookmarkStart w:id="610" w:name="Tc_AR6EdGLUr0uID-FBEyyfYw_4_0"/>
      <w:bookmarkStart w:id="611" w:name="Tc_ZW6X8s87706SM64HKejq-A_3_0"/>
      <w:bookmarkStart w:id="612" w:name="Tc_JzjiMrrzmECBelt4bQQuzA_2_5"/>
      <w:bookmarkStart w:id="613" w:name="Tc_3QbqS-M4TE6epVPwLlpZvg_2_2"/>
      <w:bookmarkStart w:id="614" w:name="Tc_sMM-TsDnoE6Qn9mS0eZgCg_1_5"/>
      <w:bookmarkStart w:id="615" w:name="Tc_jrUKRd4qqUW7_eHSsTUbWQ_1_2"/>
      <w:bookmarkStart w:id="616" w:name="_b389f9a9_4512_4f40_9a7e_418b12a4eee9"/>
      <w:bookmarkStart w:id="617" w:name="Tc_62HE4QkCV0WSf8Mn1njm7Q_7_5"/>
      <w:bookmarkStart w:id="618" w:name="Tc_2uxIf-4N5Eis4FsqD84Vjg_7_2"/>
      <w:bookmarkStart w:id="619" w:name="Tc_g1WMWnEXOkCLVsvKN6MBGw_7_0"/>
      <w:bookmarkStart w:id="620" w:name="Tc_vKc5ExHdNU62VXbz_0hpog_6_0"/>
      <w:bookmarkStart w:id="621" w:name="Tc_jyTM5x--ZkWg_FBl2Nkc-g_5_5"/>
      <w:bookmarkStart w:id="622" w:name="Tc_OwBt3prDmEKHgGSMwLkxVg_5_2"/>
      <w:bookmarkStart w:id="623" w:name="Tc_R-wIKydh0EaM7Po8YOZwkg_5_0"/>
      <w:bookmarkStart w:id="624" w:name="Tc_q3kTzNOddkOg8WDE2d_jxg_4_0"/>
      <w:bookmarkStart w:id="625" w:name="Tc_e0c2mnhBpEW0XyAPJgkukA_3_5"/>
      <w:bookmarkStart w:id="626" w:name="Tc_UQRcusRQPkK5YVlDW5UMrQ_3_2"/>
      <w:bookmarkStart w:id="627" w:name="Tc_uaT60ooiLEa_06RMSobROQ_2_5"/>
      <w:bookmarkStart w:id="628" w:name="Tc_o_76uF4pEEajSlVsFxzm4A_2_2"/>
      <w:bookmarkStart w:id="629" w:name="_1ff11a22_4cc5_47a0_885c_86a4f2facc96"/>
      <w:bookmarkStart w:id="630" w:name="Tc_Vm7VDSP_ZkWsoX09bxLpiA_6_5"/>
      <w:bookmarkStart w:id="631" w:name="Tc_wLIbQUYX-kG0HU7C9jm-sQ_6_2"/>
      <w:bookmarkStart w:id="632" w:name="Tc_36yMuhhXjkWQustAcpsUBw_6_0"/>
      <w:bookmarkStart w:id="633" w:name="Tc_gwZj6SWp6EKVMGUfa3FvXA_5_0"/>
      <w:bookmarkStart w:id="634" w:name="Tc_HF-Lxpb3SkmGFN0XslF2lA_4_5"/>
      <w:bookmarkStart w:id="635" w:name="Tc_acOrt7vejE6Klwc0L7UU3Q_4_2"/>
      <w:bookmarkStart w:id="636" w:name="Tc_UYstq-gLWUSJmqN_d73DBA_4_0"/>
      <w:bookmarkStart w:id="637" w:name="Tc_4zLhdy3pDESWwKZdvEg5gg_3_0"/>
      <w:bookmarkStart w:id="638" w:name="Tc_9c0mOKb240mdQlGFZJyDmw_2_5"/>
      <w:bookmarkStart w:id="639" w:name="Tc_BG-Gax0-_kGEd2yKrgU6Kw_2_2"/>
      <w:bookmarkStart w:id="640" w:name="Tc_pSimq0Jtx0yjObs08U7DEw_1_5"/>
      <w:bookmarkStart w:id="641" w:name="Tc_vPbfSaUg1kWJUBssa5ixdA_1_2"/>
      <w:bookmarkStart w:id="642" w:name="_d25d2b98_c03c_410b_954b_14418422daeb"/>
      <w:bookmarkStart w:id="643" w:name="Tc__W3Ls-fFH0CNh3XVe-YVWw_29_7"/>
      <w:bookmarkStart w:id="644" w:name="Tc_L_IB3EnGjkKL5qVgV5DmCA_29_4"/>
      <w:bookmarkStart w:id="645" w:name="Tc_8da_2q-iAkif4cbPX9Wy2w_29_1"/>
      <w:bookmarkStart w:id="646" w:name="Tc_WvxZs7ddwUy8j4_v5QTKwA_29_0"/>
      <w:bookmarkStart w:id="647" w:name="Tc_OR1c6fV9VUClSqPwTDtpIQ_27_7"/>
      <w:bookmarkStart w:id="648" w:name="Tc_b15Xtow6YESYtDafYfoNDw_27_4"/>
      <w:bookmarkStart w:id="649" w:name="Tc_Q3SpuOVrz0yU5MBWSnaEAA_27_1"/>
      <w:bookmarkStart w:id="650" w:name="Tc_xAzOu-CPXUuNKAsq9S5aTQ_27_0"/>
      <w:bookmarkStart w:id="651" w:name="Tc_EMjyXH28f0-_4Snao3RlgA_26_2"/>
      <w:bookmarkStart w:id="652" w:name="Tc_IKVDRtszDE-on0uHZubRjQ_26_0"/>
      <w:bookmarkStart w:id="653" w:name="Tc_KTDJBIH220OsGJolqPBFEw_25_0"/>
      <w:bookmarkStart w:id="654" w:name="Tc_hZnPKaTkt0aKVitOANsZcA_24_7"/>
      <w:bookmarkStart w:id="655" w:name="Tc_P8ooXxYhOkm5lwwkPElLaQ_24_4"/>
      <w:bookmarkStart w:id="656" w:name="Tc_3L3OAGIrXkartRNSFhYIQQ_24_1"/>
      <w:bookmarkStart w:id="657" w:name="Tc_J2U_7dKhgUyMDPbt1AN1xQ_24_0"/>
      <w:bookmarkStart w:id="658" w:name="Tc_lk8ioI3-kE2iqQGvHMAd6w_23_5"/>
      <w:bookmarkStart w:id="659" w:name="Tc_QUCLogQpRUiUXNEz5XSzMw_23_0"/>
      <w:bookmarkStart w:id="660" w:name="Tc_LcvjABRp20mR0V_PdQSfTA_22_0"/>
      <w:bookmarkStart w:id="661" w:name="Tc_cJwKd-T6n0uNIU9RImvaJQ_21_0"/>
      <w:bookmarkStart w:id="662" w:name="Tc_YIAuBht6VUe2Q-OAVgIMbA_20_0"/>
      <w:bookmarkStart w:id="663" w:name="Tc_JlDEeyA-6EOroQDZ0tzO3A_19_2"/>
      <w:bookmarkStart w:id="664" w:name="Tc_-YnhOCUeO0qrANr7wlWPgA_19_0"/>
      <w:bookmarkStart w:id="665" w:name="Tc_3uNO1znKS0mUJEaNs5-bgQ_18_0"/>
      <w:bookmarkStart w:id="666" w:name="Tc_XgY1FrB04kCCLkxrrgjl-w_16_0"/>
      <w:bookmarkStart w:id="667" w:name="Tc_NoFoTxbjeUKlaEo5c7xrhg_13_0"/>
      <w:bookmarkStart w:id="668" w:name="Tc_bcimNGzjBEuv4-QQrZfxkQ_12_0"/>
      <w:bookmarkStart w:id="669" w:name="Tc_wLEmGUwtL0OFH-qfjwq2kQ_11_0"/>
      <w:bookmarkStart w:id="670" w:name="Tc_ZiOsFLTauU6DAOxBLL0oLA_10_0"/>
      <w:bookmarkStart w:id="671" w:name="Tc_NfL3Jt7rc06FUknDJHSRbA_9_0"/>
      <w:bookmarkStart w:id="672" w:name="Tc_Y9VGXDgi4EyT50pk10sfJw_8_0"/>
      <w:bookmarkStart w:id="673" w:name="Tc_n_sMPNk47U-4ArGgTUgYJQ_5_0"/>
      <w:bookmarkStart w:id="674" w:name="Tc_bFYw0P5xKEWCNeZNgCIg5Q_4_7"/>
      <w:bookmarkStart w:id="675" w:name="Tc_uEjVnryT9EWjfmjPNs3GcQ_4_4"/>
      <w:bookmarkStart w:id="676" w:name="Tc_9h4b-QWdwkueuTWSV1NsMQ_4_1"/>
      <w:bookmarkStart w:id="677" w:name="Tc_tnDPVgqMYUC483Y5bK8x3g_4_0"/>
      <w:bookmarkStart w:id="678" w:name="Tc_QE-OCTWyREWzMqmJuiz6RQ_3_0"/>
      <w:bookmarkStart w:id="679" w:name="Tc_grCBP6DByUmSDqd0VzZ3sg_2_7"/>
      <w:bookmarkStart w:id="680" w:name="Tc_hpQcDyxJe0etLL4JmWecwQ_2_4"/>
      <w:bookmarkStart w:id="681" w:name="Tc_jku-yOujxEOQnHmaZDRB-Q_2_1"/>
      <w:bookmarkStart w:id="682" w:name="Tc_VCr8ZZtu_U67x7RD9VMokg_1_1"/>
      <w:bookmarkStart w:id="683" w:name="_949f43fc_c59a_4b5f_ae74_4cb8d729f5fe"/>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tbl>
      <w:tblPr>
        <w:tblW w:w="8281" w:type="dxa"/>
        <w:jc w:val="left"/>
        <w:tblInd w:w="0" w:type="dxa"/>
        <w:tblLayout w:type="fixed"/>
        <w:tblCellMar>
          <w:top w:w="0" w:type="dxa"/>
          <w:left w:w="0" w:type="dxa"/>
          <w:bottom w:w="0" w:type="dxa"/>
          <w:right w:w="0" w:type="dxa"/>
        </w:tblCellMar>
      </w:tblPr>
      <w:tblGrid>
        <w:gridCol w:w="4036"/>
        <w:gridCol w:w="339"/>
        <w:gridCol w:w="951"/>
        <w:gridCol w:w="110"/>
        <w:gridCol w:w="398"/>
        <w:gridCol w:w="1132"/>
        <w:gridCol w:w="110"/>
        <w:gridCol w:w="258"/>
        <w:gridCol w:w="793"/>
        <w:gridCol w:w="154"/>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562860" cy="175260"/>
                      <wp:effectExtent l="0" t="0" r="0" b="0"/>
                      <wp:wrapNone/>
                      <wp:docPr id="75" name="Frame75"/>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5265" cy="175260"/>
                      <wp:effectExtent l="0" t="0" r="0" b="0"/>
                      <wp:wrapNone/>
                      <wp:docPr id="76" name="Frame76"/>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03885" cy="175260"/>
                      <wp:effectExtent l="0" t="0" r="0" b="0"/>
                      <wp:wrapNone/>
                      <wp:docPr id="77" name="Frame77"/>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850" cy="175260"/>
                      <wp:effectExtent l="0" t="0" r="0" b="0"/>
                      <wp:wrapNone/>
                      <wp:docPr id="78" name="Frame78"/>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52730" cy="175260"/>
                      <wp:effectExtent l="0" t="0" r="0" b="0"/>
                      <wp:wrapNone/>
                      <wp:docPr id="79" name="Frame79"/>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18820" cy="175260"/>
                      <wp:effectExtent l="0" t="0" r="0" b="0"/>
                      <wp:wrapNone/>
                      <wp:docPr id="80" name="Frame80"/>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850" cy="175260"/>
                      <wp:effectExtent l="0" t="0" r="0" b="0"/>
                      <wp:wrapNone/>
                      <wp:docPr id="81" name="Frame81"/>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3830" cy="175260"/>
                      <wp:effectExtent l="0" t="0" r="0" b="0"/>
                      <wp:wrapNone/>
                      <wp:docPr id="82" name="Frame8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03555" cy="175260"/>
                      <wp:effectExtent l="0" t="0" r="0" b="0"/>
                      <wp:wrapNone/>
                      <wp:docPr id="83" name="Frame8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97790" cy="175260"/>
                      <wp:effectExtent l="0" t="0" r="0" b="0"/>
                      <wp:wrapNone/>
                      <wp:docPr id="84" name="Frame8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4091" w:type="dxa"/>
            <w:gridSpan w:val="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10" w:type="dxa"/>
            <w:tcBorders/>
            <w:vAlign w:val="center"/>
          </w:tcPr>
          <w:p>
            <w:pPr>
              <w:pStyle w:val="TableContents"/>
              <w:bidi w:val="0"/>
              <w:spacing w:lineRule="auto" w:line="285" w:before="0" w:after="0"/>
              <w:ind w:left="0" w:right="0" w:hanging="0"/>
              <w:jc w:val="center"/>
              <w:rPr/>
            </w:pPr>
            <w:r>
              <w:rPr/>
              <w:t>​</w:t>
            </w:r>
          </w:p>
        </w:tc>
        <w:tc>
          <w:tcPr>
            <w:tcW w:w="153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10" w:type="dxa"/>
            <w:tcBorders/>
            <w:vAlign w:val="center"/>
          </w:tcPr>
          <w:p>
            <w:pPr>
              <w:pStyle w:val="TableContents"/>
              <w:bidi w:val="0"/>
              <w:spacing w:lineRule="auto" w:line="285"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951" w:type="dxa"/>
            <w:tcBorders/>
            <w:shd w:fill="CCEEFF" w:val="clear"/>
            <w:vAlign w:val="center"/>
          </w:tcPr>
          <w:p>
            <w:pPr>
              <w:pStyle w:val="TableContents"/>
              <w:bidi w:val="0"/>
              <w:spacing w:lineRule="auto" w:line="285" w:before="0" w:after="0"/>
              <w:ind w:left="0" w:right="0" w:hanging="0"/>
              <w:jc w:val="center"/>
              <w:rPr/>
            </w:pPr>
            <w:r>
              <w:rPr/>
              <w:t>​</w:t>
            </w:r>
          </w:p>
        </w:tc>
        <w:tc>
          <w:tcPr>
            <w:tcW w:w="110" w:type="dxa"/>
            <w:tcBorders/>
            <w:shd w:fill="CCEEFF" w:val="clear"/>
            <w:vAlign w:val="center"/>
          </w:tcPr>
          <w:p>
            <w:pPr>
              <w:pStyle w:val="TableContents"/>
              <w:bidi w:val="0"/>
              <w:spacing w:lineRule="auto" w:line="285" w:before="0" w:after="0"/>
              <w:ind w:left="0" w:right="0" w:hanging="0"/>
              <w:jc w:val="center"/>
              <w:rPr/>
            </w:pPr>
            <w:r>
              <w:rPr/>
              <w:t>​</w:t>
            </w:r>
          </w:p>
        </w:tc>
        <w:tc>
          <w:tcPr>
            <w:tcW w:w="398" w:type="dxa"/>
            <w:tcBorders/>
            <w:shd w:fill="CCEEFF" w:val="clear"/>
            <w:vAlign w:val="center"/>
          </w:tcPr>
          <w:p>
            <w:pPr>
              <w:pStyle w:val="TableContents"/>
              <w:bidi w:val="0"/>
              <w:spacing w:lineRule="auto" w:line="285" w:before="0" w:after="0"/>
              <w:ind w:left="0" w:right="0" w:hanging="0"/>
              <w:jc w:val="center"/>
              <w:rPr/>
            </w:pPr>
            <w:r>
              <w:rPr/>
              <w:t>​</w:t>
            </w:r>
          </w:p>
        </w:tc>
        <w:tc>
          <w:tcPr>
            <w:tcW w:w="1132" w:type="dxa"/>
            <w:tcBorders/>
            <w:shd w:fill="CCEEFF" w:val="clear"/>
            <w:vAlign w:val="center"/>
          </w:tcPr>
          <w:p>
            <w:pPr>
              <w:pStyle w:val="TableContents"/>
              <w:bidi w:val="0"/>
              <w:spacing w:lineRule="auto" w:line="285" w:before="0" w:after="0"/>
              <w:ind w:left="0" w:right="0" w:hanging="0"/>
              <w:jc w:val="center"/>
              <w:rPr/>
            </w:pPr>
            <w:r>
              <w:rPr/>
              <w:t>​</w:t>
            </w:r>
          </w:p>
        </w:tc>
        <w:tc>
          <w:tcPr>
            <w:tcW w:w="110" w:type="dxa"/>
            <w:tcBorders/>
            <w:shd w:fill="CCEEFF" w:val="clear"/>
            <w:vAlign w:val="center"/>
          </w:tcPr>
          <w:p>
            <w:pPr>
              <w:pStyle w:val="TableContents"/>
              <w:bidi w:val="0"/>
              <w:spacing w:lineRule="auto" w:line="285" w:before="0" w:after="0"/>
              <w:ind w:left="0" w:right="0" w:hanging="0"/>
              <w:jc w:val="center"/>
              <w:rPr/>
            </w:pPr>
            <w:r>
              <w:rPr/>
              <w:t>​</w:t>
            </w:r>
          </w:p>
        </w:tc>
        <w:tc>
          <w:tcPr>
            <w:tcW w:w="258"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79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339"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1"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2,726</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3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12,533</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15,259</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3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570</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3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249</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819</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0"/>
              <w:ind w:left="0" w:right="0" w:hanging="0"/>
              <w:jc w:val="left"/>
              <w:rPr/>
            </w:pPr>
            <w:r>
              <w:rPr/>
              <w:t>​</w:t>
            </w:r>
          </w:p>
        </w:tc>
        <w:tc>
          <w:tcPr>
            <w:tcW w:w="951"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3,296</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13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12,782</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16,078</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left"/>
              <w:rPr/>
            </w:pPr>
            <w:r>
              <w:rPr/>
              <w:t>​</w:t>
            </w:r>
          </w:p>
        </w:tc>
        <w:tc>
          <w:tcPr>
            <w:tcW w:w="951" w:type="dxa"/>
            <w:tcBorders/>
            <w:shd w:fill="CCEEFF" w:val="clear"/>
            <w:vAlign w:val="center"/>
          </w:tcPr>
          <w:p>
            <w:pPr>
              <w:pStyle w:val="TableContents"/>
              <w:bidi w:val="0"/>
              <w:spacing w:lineRule="auto" w:line="285" w:before="0" w:after="0"/>
              <w:ind w:left="0" w:right="0" w:hanging="0"/>
              <w:jc w:val="lef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132" w:type="dxa"/>
            <w:tcBorders/>
            <w:shd w:fill="CCEEFF" w:val="clear"/>
            <w:vAlign w:val="center"/>
          </w:tcPr>
          <w:p>
            <w:pPr>
              <w:pStyle w:val="TableContents"/>
              <w:bidi w:val="0"/>
              <w:spacing w:lineRule="auto" w:line="285" w:before="0" w:after="0"/>
              <w:ind w:left="0" w:right="0" w:hanging="0"/>
              <w:jc w:val="lef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339" w:type="dxa"/>
            <w:tcBorders/>
            <w:vAlign w:val="center"/>
          </w:tcPr>
          <w:p>
            <w:pPr>
              <w:pStyle w:val="TableContents"/>
              <w:bidi w:val="0"/>
              <w:spacing w:lineRule="auto" w:line="285" w:before="0" w:after="0"/>
              <w:ind w:left="0" w:right="0" w:hanging="0"/>
              <w:jc w:val="center"/>
              <w:rPr/>
            </w:pPr>
            <w:r>
              <w:rPr/>
              <w:t>​</w:t>
            </w:r>
          </w:p>
        </w:tc>
        <w:tc>
          <w:tcPr>
            <w:tcW w:w="951" w:type="dxa"/>
            <w:tcBorders/>
            <w:vAlign w:val="center"/>
          </w:tcPr>
          <w:p>
            <w:pPr>
              <w:pStyle w:val="TableContents"/>
              <w:bidi w:val="0"/>
              <w:spacing w:lineRule="auto" w:line="285" w:before="0" w:after="0"/>
              <w:ind w:left="0" w:right="0" w:hanging="0"/>
              <w:jc w:val="lef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center"/>
              <w:rPr/>
            </w:pPr>
            <w:r>
              <w:rPr/>
              <w:t>​</w:t>
            </w:r>
          </w:p>
        </w:tc>
        <w:tc>
          <w:tcPr>
            <w:tcW w:w="1132" w:type="dxa"/>
            <w:tcBorders/>
            <w:vAlign w:val="center"/>
          </w:tcPr>
          <w:p>
            <w:pPr>
              <w:pStyle w:val="TableContents"/>
              <w:bidi w:val="0"/>
              <w:spacing w:lineRule="auto" w:line="285" w:before="0" w:after="0"/>
              <w:ind w:left="0" w:right="0" w:hanging="0"/>
              <w:jc w:val="lef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9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4,615</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center"/>
              <w:rPr/>
            </w:pPr>
            <w:r>
              <w:rPr/>
              <w:t>​</w:t>
            </w:r>
          </w:p>
        </w:tc>
        <w:tc>
          <w:tcPr>
            <w:tcW w:w="113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6,345</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10,960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3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570</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249</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819</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39" w:type="dxa"/>
            <w:tcBorders/>
            <w:shd w:fill="CCEEFF" w:val="clear"/>
            <w:vAlign w:val="center"/>
          </w:tcPr>
          <w:p>
            <w:pPr>
              <w:pStyle w:val="TableContents"/>
              <w:bidi w:val="0"/>
              <w:spacing w:lineRule="auto" w:line="285" w:before="0" w:after="0"/>
              <w:ind w:left="0" w:right="0" w:hanging="0"/>
              <w:jc w:val="left"/>
              <w:rPr/>
            </w:pPr>
            <w:r>
              <w:rPr/>
              <w:t>​</w:t>
            </w:r>
          </w:p>
        </w:tc>
        <w:tc>
          <w:tcPr>
            <w:tcW w:w="9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5,185</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13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6,594</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11,779</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39" w:type="dxa"/>
            <w:tcBorders/>
            <w:vAlign w:val="center"/>
          </w:tcPr>
          <w:p>
            <w:pPr>
              <w:pStyle w:val="TableContents"/>
              <w:bidi w:val="0"/>
              <w:spacing w:lineRule="auto" w:line="285" w:before="0" w:after="0"/>
              <w:ind w:left="0" w:right="0" w:hanging="0"/>
              <w:jc w:val="center"/>
              <w:rPr/>
            </w:pPr>
            <w:r>
              <w:rPr/>
              <w:t>​</w:t>
            </w:r>
          </w:p>
        </w:tc>
        <w:tc>
          <w:tcPr>
            <w:tcW w:w="951"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1,555</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center"/>
              <w:rPr/>
            </w:pPr>
            <w:r>
              <w:rPr/>
              <w:t>​</w:t>
            </w:r>
          </w:p>
        </w:tc>
        <w:tc>
          <w:tcPr>
            <w:tcW w:w="113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439</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1,994</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1,077</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3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194</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1,271</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5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7,817</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3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7,227</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15,044</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951"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center"/>
              <w:rPr/>
            </w:pPr>
            <w:r>
              <w:rPr/>
              <w:t>​</w:t>
            </w:r>
          </w:p>
        </w:tc>
        <w:tc>
          <w:tcPr>
            <w:tcW w:w="1132"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(Loss) income from operations</w:t>
            </w:r>
          </w:p>
        </w:tc>
        <w:tc>
          <w:tcPr>
            <w:tcW w:w="339" w:type="dxa"/>
            <w:tcBorders/>
            <w:vAlign w:val="center"/>
          </w:tcPr>
          <w:p>
            <w:pPr>
              <w:pStyle w:val="TableContents"/>
              <w:bidi w:val="0"/>
              <w:spacing w:lineRule="auto" w:line="285" w:before="0" w:after="0"/>
              <w:ind w:left="0" w:right="0" w:hanging="0"/>
              <w:jc w:val="center"/>
              <w:rPr/>
            </w:pPr>
            <w:r>
              <w:rPr/>
              <w:t>​</w:t>
            </w:r>
          </w:p>
        </w:tc>
        <w:tc>
          <w:tcPr>
            <w:tcW w:w="951"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(4,521)</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center"/>
              <w:rPr/>
            </w:pPr>
            <w:r>
              <w:rPr/>
              <w:t>​</w:t>
            </w:r>
          </w:p>
        </w:tc>
        <w:tc>
          <w:tcPr>
            <w:tcW w:w="113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5,555</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1,034</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951"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center"/>
              <w:rPr/>
            </w:pPr>
            <w:r>
              <w:rPr/>
              <w:t>​</w:t>
            </w:r>
          </w:p>
        </w:tc>
        <w:tc>
          <w:tcPr>
            <w:tcW w:w="1132"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339" w:type="dxa"/>
            <w:tcBorders/>
            <w:vAlign w:val="center"/>
          </w:tcPr>
          <w:p>
            <w:pPr>
              <w:pStyle w:val="TableContents"/>
              <w:bidi w:val="0"/>
              <w:spacing w:lineRule="auto" w:line="285" w:before="0" w:after="0"/>
              <w:ind w:left="0" w:right="0" w:hanging="0"/>
              <w:jc w:val="center"/>
              <w:rPr/>
            </w:pPr>
            <w:r>
              <w:rPr/>
              <w:t>​</w:t>
            </w:r>
          </w:p>
        </w:tc>
        <w:tc>
          <w:tcPr>
            <w:tcW w:w="951" w:type="dxa"/>
            <w:tcBorders/>
            <w:vAlign w:val="center"/>
          </w:tcPr>
          <w:p>
            <w:pPr>
              <w:pStyle w:val="TableContents"/>
              <w:bidi w:val="0"/>
              <w:spacing w:lineRule="auto" w:line="285" w:before="0" w:after="0"/>
              <w:ind w:left="0" w:right="0" w:hanging="0"/>
              <w:jc w:val="righ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center"/>
              <w:rPr/>
            </w:pPr>
            <w:r>
              <w:rPr/>
              <w:t>​</w:t>
            </w:r>
          </w:p>
        </w:tc>
        <w:tc>
          <w:tcPr>
            <w:tcW w:w="1132" w:type="dxa"/>
            <w:tcBorders/>
            <w:vAlign w:val="center"/>
          </w:tcPr>
          <w:p>
            <w:pPr>
              <w:pStyle w:val="TableContents"/>
              <w:bidi w:val="0"/>
              <w:spacing w:lineRule="auto" w:line="285" w:before="0" w:after="0"/>
              <w:ind w:left="0" w:right="0" w:hanging="0"/>
              <w:jc w:val="righ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951" w:type="dxa"/>
            <w:tcBorders/>
            <w:shd w:fill="CCEEFF" w:val="clear"/>
            <w:vAlign w:val="center"/>
          </w:tcPr>
          <w:p>
            <w:pPr>
              <w:pStyle w:val="TableContents"/>
              <w:bidi w:val="0"/>
              <w:spacing w:lineRule="auto" w:line="285" w:before="0" w:after="1"/>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center"/>
              <w:rPr/>
            </w:pPr>
            <w:r>
              <w:rPr/>
              <w:t>​</w:t>
            </w:r>
          </w:p>
        </w:tc>
        <w:tc>
          <w:tcPr>
            <w:tcW w:w="113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39" w:type="dxa"/>
            <w:tcBorders/>
            <w:vAlign w:val="center"/>
          </w:tcPr>
          <w:p>
            <w:pPr>
              <w:pStyle w:val="TableContents"/>
              <w:bidi w:val="0"/>
              <w:spacing w:lineRule="auto" w:line="285" w:before="0" w:after="0"/>
              <w:ind w:left="0" w:right="0" w:hanging="0"/>
              <w:jc w:val="center"/>
              <w:rPr/>
            </w:pPr>
            <w:r>
              <w:rPr/>
              <w:t>​</w:t>
            </w:r>
          </w:p>
        </w:tc>
        <w:tc>
          <w:tcPr>
            <w:tcW w:w="951"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(63)</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center"/>
              <w:rPr/>
            </w:pPr>
            <w:r>
              <w:rPr/>
              <w:t>​</w:t>
            </w:r>
          </w:p>
        </w:tc>
        <w:tc>
          <w:tcPr>
            <w:tcW w:w="113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(76)</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3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(Loss) income before income tax</w:t>
            </w:r>
          </w:p>
        </w:tc>
        <w:tc>
          <w:tcPr>
            <w:tcW w:w="339" w:type="dxa"/>
            <w:tcBorders/>
            <w:vAlign w:val="center"/>
          </w:tcPr>
          <w:p>
            <w:pPr>
              <w:pStyle w:val="TableContents"/>
              <w:bidi w:val="0"/>
              <w:spacing w:lineRule="auto" w:line="285" w:before="0" w:after="0"/>
              <w:ind w:left="0" w:right="0" w:hanging="0"/>
              <w:jc w:val="center"/>
              <w:rPr/>
            </w:pPr>
            <w:r>
              <w:rPr/>
              <w:t>​</w:t>
            </w:r>
          </w:p>
        </w:tc>
        <w:tc>
          <w:tcPr>
            <w:tcW w:w="951"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(4,543)</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center"/>
              <w:rPr/>
            </w:pPr>
            <w:r>
              <w:rPr/>
              <w:t>​</w:t>
            </w:r>
          </w:p>
        </w:tc>
        <w:tc>
          <w:tcPr>
            <w:tcW w:w="113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5,538</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995</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Income tax expense</w:t>
            </w:r>
          </w:p>
        </w:tc>
        <w:tc>
          <w:tcPr>
            <w:tcW w:w="3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3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Net (loss) income</w:t>
            </w:r>
          </w:p>
        </w:tc>
        <w:tc>
          <w:tcPr>
            <w:tcW w:w="339"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(4,546)</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32"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5,538</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992</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Other Comprehensive loss:</w:t>
            </w:r>
          </w:p>
        </w:tc>
        <w:tc>
          <w:tcPr>
            <w:tcW w:w="339" w:type="dxa"/>
            <w:tcBorders/>
            <w:shd w:fill="CCEEFF" w:val="clear"/>
            <w:vAlign w:val="center"/>
          </w:tcPr>
          <w:p>
            <w:pPr>
              <w:pStyle w:val="TableContents"/>
              <w:bidi w:val="0"/>
              <w:spacing w:lineRule="auto" w:line="285" w:before="0" w:after="0"/>
              <w:ind w:left="0" w:right="0" w:hanging="0"/>
              <w:jc w:val="left"/>
              <w:rPr/>
            </w:pPr>
            <w:r>
              <w:rPr/>
              <w:t>​</w:t>
            </w:r>
          </w:p>
        </w:tc>
        <w:tc>
          <w:tcPr>
            <w:tcW w:w="951"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132"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Net unrealized loss on foreign exchange rate translation</w:t>
            </w:r>
          </w:p>
        </w:tc>
        <w:tc>
          <w:tcPr>
            <w:tcW w:w="3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(30)</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(30)</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Comprehensive (loss) income</w:t>
            </w:r>
          </w:p>
        </w:tc>
        <w:tc>
          <w:tcPr>
            <w:tcW w:w="33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(4,546)</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3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5,508</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962</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Adjusted EBITDA</w:t>
            </w:r>
          </w:p>
        </w:tc>
        <w:tc>
          <w:tcPr>
            <w:tcW w:w="33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(3,403)</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3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5,741</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2,338</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314" w:before="0" w:after="120"/>
        <w:ind w:left="0" w:right="0" w:firstLine="490"/>
        <w:jc w:val="both"/>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tables present the Company’s total assets, net property and equipment, capital expenditures and operating right of use assets disaggregated by operating segment (in thousands):</w:t>
      </w:r>
    </w:p>
    <w:tbl>
      <w:tblPr>
        <w:tblW w:w="3771" w:type="dxa"/>
        <w:jc w:val="left"/>
        <w:tblInd w:w="0" w:type="dxa"/>
        <w:tblLayout w:type="fixed"/>
        <w:tblCellMar>
          <w:top w:w="0" w:type="dxa"/>
          <w:left w:w="0" w:type="dxa"/>
          <w:bottom w:w="0" w:type="dxa"/>
          <w:right w:w="0" w:type="dxa"/>
        </w:tblCellMar>
      </w:tblPr>
      <w:tblGrid>
        <w:gridCol w:w="1201"/>
        <w:gridCol w:w="346"/>
        <w:gridCol w:w="221"/>
        <w:gridCol w:w="709"/>
        <w:gridCol w:w="109"/>
        <w:gridCol w:w="252"/>
        <w:gridCol w:w="933"/>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762635" cy="175260"/>
                      <wp:effectExtent l="0" t="0" r="0" b="0"/>
                      <wp:wrapNone/>
                      <wp:docPr id="85" name="Frame8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40335" cy="175260"/>
                      <wp:effectExtent l="0" t="0" r="0" b="0"/>
                      <wp:wrapNone/>
                      <wp:docPr id="87" name="Frame8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50215" cy="175260"/>
                      <wp:effectExtent l="0" t="0" r="0" b="0"/>
                      <wp:wrapNone/>
                      <wp:docPr id="88" name="Frame88"/>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60020" cy="175260"/>
                      <wp:effectExtent l="0" t="0" r="0" b="0"/>
                      <wp:wrapNone/>
                      <wp:docPr id="90" name="Frame9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92455" cy="175260"/>
                      <wp:effectExtent l="0" t="0" r="0" b="0"/>
                      <wp:wrapNone/>
                      <wp:docPr id="91" name="Frame91"/>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12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2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center"/>
              <w:rPr/>
            </w:pPr>
            <w:r>
              <w:rPr/>
              <w:t>​</w:t>
            </w:r>
          </w:p>
        </w:tc>
        <w:tc>
          <w:tcPr>
            <w:tcW w:w="709"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2" w:type="dxa"/>
            <w:tcBorders/>
            <w:shd w:fill="CCEEFF" w:val="clear"/>
            <w:vAlign w:val="center"/>
          </w:tcPr>
          <w:p>
            <w:pPr>
              <w:pStyle w:val="TableContents"/>
              <w:bidi w:val="0"/>
              <w:spacing w:lineRule="auto" w:line="285" w:before="0" w:after="0"/>
              <w:ind w:left="0" w:right="0" w:hanging="0"/>
              <w:jc w:val="center"/>
              <w:rPr/>
            </w:pPr>
            <w:r>
              <w:rPr/>
              <w:t>​</w:t>
            </w:r>
          </w:p>
        </w:tc>
        <w:tc>
          <w:tcPr>
            <w:tcW w:w="933" w:type="dxa"/>
            <w:tcBorders/>
            <w:shd w:fill="CCEEFF" w:val="clear"/>
            <w:vAlign w:val="center"/>
          </w:tcPr>
          <w:p>
            <w:pPr>
              <w:pStyle w:val="TableContents"/>
              <w:bidi w:val="0"/>
              <w:spacing w:lineRule="auto" w:line="285" w:before="0" w:after="0"/>
              <w:ind w:left="0" w:right="0" w:hanging="0"/>
              <w:jc w:val="center"/>
              <w:rPr/>
            </w:pPr>
            <w:r>
              <w:rPr/>
              <w:t>​</w:t>
            </w:r>
          </w:p>
        </w:tc>
      </w:tr>
      <w:tr>
        <w:trPr/>
        <w:tc>
          <w:tcPr>
            <w:tcW w:w="12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48,650</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48,577</w:t>
            </w:r>
          </w:p>
        </w:tc>
      </w:tr>
      <w:tr>
        <w:trPr/>
        <w:tc>
          <w:tcPr>
            <w:tcW w:w="12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7,433</w:t>
            </w:r>
          </w:p>
        </w:tc>
      </w:tr>
      <w:tr>
        <w:trPr/>
        <w:tc>
          <w:tcPr>
            <w:tcW w:w="12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64,396</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56,010</w:t>
            </w:r>
          </w:p>
        </w:tc>
      </w:tr>
    </w:tbl>
    <w:p>
      <w:pPr>
        <w:pStyle w:val="TextBody"/>
        <w:bidi w:val="0"/>
        <w:spacing w:lineRule="auto" w:line="285" w:before="0" w:after="0"/>
        <w:ind w:left="0" w:right="0" w:firstLine="490"/>
        <w:jc w:val="both"/>
        <w:rPr/>
      </w:pPr>
      <w:r>
        <w:rPr/>
        <w:t>​</w:t>
      </w:r>
    </w:p>
    <w:tbl>
      <w:tblPr>
        <w:tblW w:w="5001" w:type="dxa"/>
        <w:jc w:val="left"/>
        <w:tblInd w:w="0" w:type="dxa"/>
        <w:tblLayout w:type="fixed"/>
        <w:tblCellMar>
          <w:top w:w="0" w:type="dxa"/>
          <w:left w:w="0" w:type="dxa"/>
          <w:bottom w:w="0" w:type="dxa"/>
          <w:right w:w="0" w:type="dxa"/>
        </w:tblCellMar>
      </w:tblPr>
      <w:tblGrid>
        <w:gridCol w:w="2431"/>
        <w:gridCol w:w="346"/>
        <w:gridCol w:w="221"/>
        <w:gridCol w:w="709"/>
        <w:gridCol w:w="109"/>
        <w:gridCol w:w="252"/>
        <w:gridCol w:w="933"/>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543685" cy="175260"/>
                      <wp:effectExtent l="0" t="0" r="0" b="0"/>
                      <wp:wrapNone/>
                      <wp:docPr id="92" name="Frame92"/>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0335" cy="175260"/>
                      <wp:effectExtent l="0" t="0" r="0" b="0"/>
                      <wp:wrapNone/>
                      <wp:docPr id="94" name="Frame9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50215" cy="175260"/>
                      <wp:effectExtent l="0" t="0" r="0" b="0"/>
                      <wp:wrapNone/>
                      <wp:docPr id="95" name="Frame95"/>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60020" cy="175260"/>
                      <wp:effectExtent l="0" t="0" r="0" b="0"/>
                      <wp:wrapNone/>
                      <wp:docPr id="97" name="Frame9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92455" cy="175260"/>
                      <wp:effectExtent l="0" t="0" r="0" b="0"/>
                      <wp:wrapNone/>
                      <wp:docPr id="98" name="Frame98"/>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7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left"/>
              <w:rPr/>
            </w:pPr>
            <w:r>
              <w:rPr/>
              <w:t>​</w:t>
            </w:r>
          </w:p>
        </w:tc>
      </w:tr>
      <w:tr>
        <w:trPr/>
        <w:tc>
          <w:tcPr>
            <w:tcW w:w="24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24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center"/>
              <w:rPr/>
            </w:pPr>
            <w:r>
              <w:rPr/>
              <w:t>​</w:t>
            </w:r>
          </w:p>
        </w:tc>
        <w:tc>
          <w:tcPr>
            <w:tcW w:w="709"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2" w:type="dxa"/>
            <w:tcBorders/>
            <w:shd w:fill="CCEEFF" w:val="clear"/>
            <w:vAlign w:val="center"/>
          </w:tcPr>
          <w:p>
            <w:pPr>
              <w:pStyle w:val="TableContents"/>
              <w:bidi w:val="0"/>
              <w:spacing w:lineRule="auto" w:line="285" w:before="0" w:after="0"/>
              <w:ind w:left="0" w:right="0" w:hanging="0"/>
              <w:jc w:val="center"/>
              <w:rPr/>
            </w:pPr>
            <w:r>
              <w:rPr/>
              <w:t>​</w:t>
            </w:r>
          </w:p>
        </w:tc>
        <w:tc>
          <w:tcPr>
            <w:tcW w:w="933" w:type="dxa"/>
            <w:tcBorders/>
            <w:shd w:fill="CCEEFF" w:val="clear"/>
            <w:vAlign w:val="center"/>
          </w:tcPr>
          <w:p>
            <w:pPr>
              <w:pStyle w:val="TableContents"/>
              <w:bidi w:val="0"/>
              <w:spacing w:lineRule="auto" w:line="285" w:before="0" w:after="0"/>
              <w:ind w:left="0" w:right="0" w:hanging="0"/>
              <w:jc w:val="center"/>
              <w:rPr/>
            </w:pPr>
            <w:r>
              <w:rPr/>
              <w:t>​</w:t>
            </w:r>
          </w:p>
        </w:tc>
      </w:tr>
      <w:tr>
        <w:trPr/>
        <w:tc>
          <w:tcPr>
            <w:tcW w:w="24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31,399</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28,683</w:t>
            </w:r>
          </w:p>
        </w:tc>
      </w:tr>
      <w:tr>
        <w:trPr/>
        <w:tc>
          <w:tcPr>
            <w:tcW w:w="2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2,092</w:t>
            </w:r>
          </w:p>
        </w:tc>
      </w:tr>
      <w:tr>
        <w:trPr/>
        <w:tc>
          <w:tcPr>
            <w:tcW w:w="24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33,247</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30,775</w:t>
            </w:r>
          </w:p>
        </w:tc>
      </w:tr>
    </w:tbl>
    <w:p>
      <w:pPr>
        <w:pStyle w:val="TextBody"/>
        <w:bidi w:val="0"/>
        <w:spacing w:lineRule="auto" w:line="285" w:before="0" w:after="0"/>
        <w:ind w:left="0" w:right="0" w:firstLine="490"/>
        <w:jc w:val="both"/>
        <w:rPr/>
      </w:pPr>
      <w:r>
        <w:rPr/>
        <w:t>​</w:t>
      </w:r>
    </w:p>
    <w:tbl>
      <w:tblPr>
        <w:tblW w:w="4686" w:type="dxa"/>
        <w:jc w:val="left"/>
        <w:tblInd w:w="0" w:type="dxa"/>
        <w:tblLayout w:type="fixed"/>
        <w:tblCellMar>
          <w:top w:w="0" w:type="dxa"/>
          <w:left w:w="0" w:type="dxa"/>
          <w:bottom w:w="0" w:type="dxa"/>
          <w:right w:w="0" w:type="dxa"/>
        </w:tblCellMar>
      </w:tblPr>
      <w:tblGrid>
        <w:gridCol w:w="2326"/>
        <w:gridCol w:w="346"/>
        <w:gridCol w:w="250"/>
        <w:gridCol w:w="680"/>
        <w:gridCol w:w="109"/>
        <w:gridCol w:w="310"/>
        <w:gridCol w:w="665"/>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77010" cy="175260"/>
                      <wp:effectExtent l="0" t="0" r="0" b="0"/>
                      <wp:wrapNone/>
                      <wp:docPr id="99" name="Frame99"/>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8750" cy="175260"/>
                      <wp:effectExtent l="0" t="0" r="0" b="0"/>
                      <wp:wrapNone/>
                      <wp:docPr id="101" name="Frame101"/>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31800" cy="175260"/>
                      <wp:effectExtent l="0" t="0" r="0" b="0"/>
                      <wp:wrapNone/>
                      <wp:docPr id="102" name="Frame102"/>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96850" cy="175260"/>
                      <wp:effectExtent l="0" t="0" r="0" b="0"/>
                      <wp:wrapNone/>
                      <wp:docPr id="104" name="Frame10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22275" cy="175260"/>
                      <wp:effectExtent l="0" t="0" r="0" b="0"/>
                      <wp:wrapNone/>
                      <wp:docPr id="105" name="Frame105"/>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109" w:type="dxa"/>
            <w:tcBorders/>
            <w:vAlign w:val="center"/>
          </w:tcPr>
          <w:p>
            <w:pPr>
              <w:pStyle w:val="TableContents"/>
              <w:bidi w:val="0"/>
              <w:spacing w:lineRule="auto" w:line="285" w:before="0" w:after="0"/>
              <w:ind w:left="0" w:right="0" w:hanging="0"/>
              <w:jc w:val="left"/>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23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3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0" w:type="dxa"/>
            <w:tcBorders/>
            <w:shd w:fill="CCEEFF" w:val="clear"/>
            <w:vAlign w:val="center"/>
          </w:tcPr>
          <w:p>
            <w:pPr>
              <w:pStyle w:val="TableContents"/>
              <w:bidi w:val="0"/>
              <w:spacing w:lineRule="auto" w:line="285" w:before="0" w:after="0"/>
              <w:ind w:left="0" w:right="0" w:hanging="0"/>
              <w:jc w:val="center"/>
              <w:rPr/>
            </w:pPr>
            <w:r>
              <w:rPr/>
              <w:t>​</w:t>
            </w:r>
          </w:p>
        </w:tc>
        <w:tc>
          <w:tcPr>
            <w:tcW w:w="680"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665" w:type="dxa"/>
            <w:tcBorders/>
            <w:shd w:fill="CCEEFF" w:val="clear"/>
            <w:vAlign w:val="center"/>
          </w:tcPr>
          <w:p>
            <w:pPr>
              <w:pStyle w:val="TableContents"/>
              <w:bidi w:val="0"/>
              <w:spacing w:lineRule="auto" w:line="285" w:before="0" w:after="0"/>
              <w:ind w:left="0" w:right="0" w:hanging="0"/>
              <w:jc w:val="center"/>
              <w:rPr/>
            </w:pPr>
            <w:r>
              <w:rPr/>
              <w:t>​</w:t>
            </w:r>
          </w:p>
        </w:tc>
      </w:tr>
      <w:tr>
        <w:trPr/>
        <w:tc>
          <w:tcPr>
            <w:tcW w:w="23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lineRule="auto" w:line="285" w:before="0" w:after="0"/>
              <w:ind w:left="0" w:right="0" w:hanging="0"/>
              <w:jc w:val="left"/>
              <w:rPr/>
            </w:pPr>
            <w:r>
              <w:rPr/>
              <w:t>​</w:t>
            </w:r>
          </w:p>
        </w:tc>
        <w:tc>
          <w:tcPr>
            <w:tcW w:w="25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4,484</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vAlign w:val="center"/>
          </w:tcPr>
          <w:p>
            <w:pPr>
              <w:pStyle w:val="TableContents"/>
              <w:bidi w:val="0"/>
              <w:spacing w:lineRule="auto" w:line="285" w:before="0" w:after="0"/>
              <w:ind w:left="0" w:right="0" w:hanging="0"/>
              <w:jc w:val="right"/>
              <w:rPr/>
            </w:pPr>
            <w:r>
              <w:rPr/>
              <w:t>—</w:t>
            </w:r>
          </w:p>
        </w:tc>
      </w:tr>
      <w:tr>
        <w:trPr/>
        <w:tc>
          <w:tcPr>
            <w:tcW w:w="23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23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346" w:type="dxa"/>
            <w:tcBorders/>
            <w:vAlign w:val="center"/>
          </w:tcPr>
          <w:p>
            <w:pPr>
              <w:pStyle w:val="TableContents"/>
              <w:bidi w:val="0"/>
              <w:spacing w:lineRule="auto" w:line="285"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4,492</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490"/>
        <w:jc w:val="both"/>
        <w:rPr/>
      </w:pPr>
      <w:bookmarkStart w:id="684" w:name="Tc_jk4LuaMbGEOrvsITb1wHEw_8_16"/>
      <w:bookmarkStart w:id="685" w:name="Tc__URfcT6O0E6yWW6wHOQsNw_8_13"/>
      <w:bookmarkStart w:id="686" w:name="Tc_xk7BJ3WukU-zviq77fGMYg_8_10"/>
      <w:bookmarkStart w:id="687" w:name="Tc_k-Jx8Dam40OpMZpsP1cUUg_8_7"/>
      <w:bookmarkStart w:id="688" w:name="Tc_crA3GRs1pUqQeJosEc268A_8_4"/>
      <w:bookmarkStart w:id="689" w:name="Tc_vum7oYhzEEi2Q641U2wSFg_8_1"/>
      <w:bookmarkStart w:id="690" w:name="Tc_DQ_q0uNr0U6L0em9e8HuUw_8_0"/>
      <w:bookmarkStart w:id="691" w:name="Tc_uMwhtGBAdEuIZ7A1s8De4g_7_17"/>
      <w:bookmarkStart w:id="692" w:name="Tc_N5oi7ZQ_LUe1ypLIM667HQ_7_14"/>
      <w:bookmarkStart w:id="693" w:name="Tc_l1FprNF-m06cn7AxiwXATw_7_11"/>
      <w:bookmarkStart w:id="694" w:name="Tc_GpuWbpRrRkiGKEMRA0H0Pg_7_5"/>
      <w:bookmarkStart w:id="695" w:name="Tc_cnAk1xsZq0mRGiaNYb9w-w_7_0"/>
      <w:bookmarkStart w:id="696" w:name="Tc_tpaMpHSs90-H2vH0klOFjQ_6_0"/>
      <w:bookmarkStart w:id="697" w:name="Tc_yKXsNYwjP0KrYncNCXiR9w_5_0"/>
      <w:bookmarkStart w:id="698" w:name="Tc_TJiGuz_dFUqDdV0dywoDkw_4_0"/>
      <w:bookmarkStart w:id="699" w:name="Tc_UGFsDXxiX0KOiC8N_ZqFeQ_3_16"/>
      <w:bookmarkStart w:id="700" w:name="Tc_kr84GG5OOUOWfKT9mJQAaQ_3_13"/>
      <w:bookmarkStart w:id="701" w:name="Tc_-jyRWV982Eq637H8I0JxFQ_3_10"/>
      <w:bookmarkStart w:id="702" w:name="Tc_sss0FtlYIkaM6YneoLuGqA_3_7"/>
      <w:bookmarkStart w:id="703" w:name="Tc_2OfxcQ_YzEaxnt6lsW_eVg_3_4"/>
      <w:bookmarkStart w:id="704" w:name="Tc_MhvGS-ujwEqpsklVPBKFMw_3_1"/>
      <w:bookmarkStart w:id="705" w:name="Tc_VL-yDFsCnke8cR4EMOSDJA_3_0"/>
      <w:bookmarkStart w:id="706" w:name="Tc_Qk9qxofK_UKk3_kXDQcTKg_2_16"/>
      <w:bookmarkStart w:id="707" w:name="Tc_8MFH3UvKJ0-MGL0M_F9OBQ_2_13"/>
      <w:bookmarkStart w:id="708" w:name="Tc_UkrsX_iuGkySf4Rb5vjj1A_2_10"/>
      <w:bookmarkStart w:id="709" w:name="Tc_nvkf9Az5tke4Ml_-pfuPSQ_2_7"/>
      <w:bookmarkStart w:id="710" w:name="Tc_pwpN_slMtUu7RneHkeQHqg_2_4"/>
      <w:bookmarkStart w:id="711" w:name="Tc_TxgBTX1bhEyFPFWm4hR8fQ_2_1"/>
      <w:bookmarkStart w:id="712" w:name="Tc_DpBSSus6WE2hh_53uapUcg_1_1"/>
      <w:bookmarkStart w:id="713" w:name="_a6caa33f_edae_4768_8753_dd62bf4b7607"/>
      <w:bookmarkStart w:id="714" w:name="Tc_VDq5zNntrUCkZ9lzI_UC8g_9_16"/>
      <w:bookmarkStart w:id="715" w:name="Tc_W3JRx3i3nE63VrUH8VzY_Q_9_13"/>
      <w:bookmarkStart w:id="716" w:name="Tc_Hu523aOPlECIuiXwsPK-Tg_9_10"/>
      <w:bookmarkStart w:id="717" w:name="Tc_Z0llZtg6KUud921SgYxG2A_9_7"/>
      <w:bookmarkStart w:id="718" w:name="Tc_Kr4OUfDSik6pFtk7q49UQA_9_4"/>
      <w:bookmarkStart w:id="719" w:name="Tc_quB_ERhA8U23I0BfHZIkyw_9_1"/>
      <w:bookmarkStart w:id="720" w:name="Tc_l11pA_WMLEuC00cBX-Thbg_9_0"/>
      <w:bookmarkStart w:id="721" w:name="Tc_7TdFHuZ66U2B3exdoW6WVw_8_17"/>
      <w:bookmarkStart w:id="722" w:name="Tc_PkWEuEt0oEaIOpDhzF0yjw_8_14"/>
      <w:bookmarkStart w:id="723" w:name="Tc_8WWF_5-LJUuTDhcL3joTrA_8_11"/>
      <w:bookmarkStart w:id="724" w:name="Tc_TZBWLW2JKkOhKVU0mcrpQg_8_5"/>
      <w:bookmarkStart w:id="725" w:name="Tc_sdib68mF50KUm34Wt2yMvQ_8_0"/>
      <w:bookmarkStart w:id="726" w:name="Tc_BZIkeUnP1EiS9ph8iYnU_A_7_0"/>
      <w:bookmarkStart w:id="727" w:name="Tc_HJr5W_D26UiYZFAcPgDqXQ_6_14"/>
      <w:bookmarkStart w:id="728" w:name="Tc_sLYAgRyTYE6IKZXmy8fTBA_6_5"/>
      <w:bookmarkStart w:id="729" w:name="Tc_ZuxmFACwS0WSZ_voJrj42w_6_0"/>
      <w:bookmarkStart w:id="730" w:name="Tc_VAAuULVogUSkjhYQ80claA_5_0"/>
      <w:bookmarkStart w:id="731" w:name="Tc_XO1svd0jv0GFvLbdFXU-nA_4_0"/>
      <w:bookmarkStart w:id="732" w:name="Tc_f6sXOFVNKUCSYex_TjMB2Q_3_16"/>
      <w:bookmarkStart w:id="733" w:name="Tc_kIQ5ZFrNO0-LibobVHZ40Q_3_13"/>
      <w:bookmarkStart w:id="734" w:name="Tc_xjMEKgmCPEWJNon84nI0zQ_3_10"/>
      <w:bookmarkStart w:id="735" w:name="Tc_l6qlniB4mEqC08iNwaUDlA_3_7"/>
      <w:bookmarkStart w:id="736" w:name="Tc_APhecXMd6EiJigFeJhXaSw_3_4"/>
      <w:bookmarkStart w:id="737" w:name="Tc_ZtO2ltp4Vk2_WGHY0ITRdg_3_1"/>
      <w:bookmarkStart w:id="738" w:name="Tc_PpD62x7mekCr6EL0OilWiA_3_0"/>
      <w:bookmarkStart w:id="739" w:name="Tc_bJA-b-DmD0S8-K3JAO8_pw_2_16"/>
      <w:bookmarkStart w:id="740" w:name="Tc_nDRvRyP39ku6QPwikoOPkg_2_13"/>
      <w:bookmarkStart w:id="741" w:name="Tc_oseyctO_hUuGEasE8S7X0A_2_10"/>
      <w:bookmarkStart w:id="742" w:name="Tc_RCF-dOZ4mUiq0VPk9LuoHQ_2_7"/>
      <w:bookmarkStart w:id="743" w:name="Tc_dTyOIU0_f0Wss6jSFNaj4Q_2_4"/>
      <w:bookmarkStart w:id="744" w:name="Tc__SWo5adgB0mbRmq29Vo-6w_2_1"/>
      <w:bookmarkStart w:id="745" w:name="Tc_Jdb4Inm7y0ukQFwtJdloyQ_1_1"/>
      <w:bookmarkStart w:id="746" w:name="_0fd8772a_50ec_4c25_b165_1e08c3fdc2e8"/>
      <w:bookmarkStart w:id="747" w:name="Tc_f848Yqje80W6Vo0LdPnyMg_6_5"/>
      <w:bookmarkStart w:id="748" w:name="Tc_XqfeTa-DNUiF8oQvXOZoNQ_6_2"/>
      <w:bookmarkStart w:id="749" w:name="Tc_sZXoQH75UUizQ7L1afxgxw_6_0"/>
      <w:bookmarkStart w:id="750" w:name="Tc_prKO8x10zku0mxFYRbmB8Q_5_0"/>
      <w:bookmarkStart w:id="751" w:name="Tc_gXqYhkJ_jEObB5YhPeUj0Q_4_5"/>
      <w:bookmarkStart w:id="752" w:name="Tc_IX1aznL170aRjkNIS-CXMQ_4_2"/>
      <w:bookmarkStart w:id="753" w:name="Tc_mzOWe9oTm0OpMbqC7DE9HQ_4_0"/>
      <w:bookmarkStart w:id="754" w:name="Tc_a0-V3yQFYkOQcs1tDGmsaQ_3_0"/>
      <w:bookmarkStart w:id="755" w:name="Tc_0tkVEOxfnUGBc4-CzinH2w_2_5"/>
      <w:bookmarkStart w:id="756" w:name="Tc_ipkfFllhPkaKlKKQ0fxWww_2_2"/>
      <w:bookmarkStart w:id="757" w:name="Tc_ogckF76cT0ySZv177xpa6w_1_5"/>
      <w:bookmarkStart w:id="758" w:name="Tc_VFWs_fi-9kOwRR_w9gskFQ_1_2"/>
      <w:bookmarkStart w:id="759" w:name="_e5dd2808_0f4b_40e8_b5e2_afdd07183aca"/>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r>
        <w:rPr/>
        <w:t>​</w:t>
      </w:r>
    </w:p>
    <w:tbl>
      <w:tblPr>
        <w:tblW w:w="5451" w:type="dxa"/>
        <w:jc w:val="left"/>
        <w:tblInd w:w="0" w:type="dxa"/>
        <w:tblLayout w:type="fixed"/>
        <w:tblCellMar>
          <w:top w:w="0" w:type="dxa"/>
          <w:left w:w="0" w:type="dxa"/>
          <w:bottom w:w="0" w:type="dxa"/>
          <w:right w:w="0" w:type="dxa"/>
        </w:tblCellMar>
      </w:tblPr>
      <w:tblGrid>
        <w:gridCol w:w="2881"/>
        <w:gridCol w:w="346"/>
        <w:gridCol w:w="250"/>
        <w:gridCol w:w="680"/>
        <w:gridCol w:w="109"/>
        <w:gridCol w:w="280"/>
        <w:gridCol w:w="905"/>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829435" cy="175260"/>
                      <wp:effectExtent l="0" t="0" r="0" b="0"/>
                      <wp:wrapNone/>
                      <wp:docPr id="106" name="Frame106"/>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58750" cy="175260"/>
                      <wp:effectExtent l="0" t="0" r="0" b="0"/>
                      <wp:wrapNone/>
                      <wp:docPr id="108" name="Frame10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31800" cy="175260"/>
                      <wp:effectExtent l="0" t="0" r="0" b="0"/>
                      <wp:wrapNone/>
                      <wp:docPr id="109" name="Frame109"/>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77800" cy="175260"/>
                      <wp:effectExtent l="0" t="0" r="0" b="0"/>
                      <wp:wrapNone/>
                      <wp:docPr id="111" name="Frame11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74675" cy="175260"/>
                      <wp:effectExtent l="0" t="0" r="0" b="0"/>
                      <wp:wrapNone/>
                      <wp:docPr id="112" name="Frame112"/>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Operating Right-of-use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0" w:type="dxa"/>
            <w:tcBorders/>
            <w:shd w:fill="CCEEFF" w:val="clear"/>
            <w:vAlign w:val="center"/>
          </w:tcPr>
          <w:p>
            <w:pPr>
              <w:pStyle w:val="TableContents"/>
              <w:bidi w:val="0"/>
              <w:spacing w:lineRule="auto" w:line="285" w:before="0" w:after="0"/>
              <w:ind w:left="0" w:right="0" w:hanging="0"/>
              <w:jc w:val="center"/>
              <w:rPr/>
            </w:pPr>
            <w:r>
              <w:rPr/>
              <w:t>​</w:t>
            </w:r>
          </w:p>
        </w:tc>
        <w:tc>
          <w:tcPr>
            <w:tcW w:w="680"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80" w:type="dxa"/>
            <w:tcBorders/>
            <w:shd w:fill="CCEEFF" w:val="clear"/>
            <w:vAlign w:val="center"/>
          </w:tcPr>
          <w:p>
            <w:pPr>
              <w:pStyle w:val="TableContents"/>
              <w:bidi w:val="0"/>
              <w:spacing w:lineRule="auto" w:line="285" w:before="0" w:after="0"/>
              <w:ind w:left="0" w:right="0" w:hanging="0"/>
              <w:jc w:val="center"/>
              <w:rPr/>
            </w:pPr>
            <w:r>
              <w:rPr/>
              <w:t>​</w:t>
            </w:r>
          </w:p>
        </w:tc>
        <w:tc>
          <w:tcPr>
            <w:tcW w:w="905" w:type="dxa"/>
            <w:tcBorders/>
            <w:shd w:fill="CCEEFF" w:val="cle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lineRule="auto" w:line="285" w:before="0" w:after="0"/>
              <w:ind w:left="0" w:right="0" w:hanging="0"/>
              <w:jc w:val="left"/>
              <w:rPr/>
            </w:pPr>
            <w:r>
              <w:rPr/>
              <w:t>​</w:t>
            </w:r>
          </w:p>
        </w:tc>
        <w:tc>
          <w:tcPr>
            <w:tcW w:w="25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2,068</w:t>
            </w:r>
          </w:p>
        </w:tc>
        <w:tc>
          <w:tcPr>
            <w:tcW w:w="109" w:type="dxa"/>
            <w:tcBorders/>
            <w:vAlign w:val="center"/>
          </w:tcPr>
          <w:p>
            <w:pPr>
              <w:pStyle w:val="TableContents"/>
              <w:bidi w:val="0"/>
              <w:spacing w:lineRule="auto" w:line="285" w:before="0" w:after="0"/>
              <w:ind w:left="0" w:right="0" w:hanging="0"/>
              <w:jc w:val="left"/>
              <w:rPr/>
            </w:pPr>
            <w:r>
              <w:rPr/>
              <w:t>​</w:t>
            </w:r>
          </w:p>
        </w:tc>
        <w:tc>
          <w:tcPr>
            <w:tcW w:w="28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2,093</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943</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lineRule="auto" w:line="285"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2,939</w:t>
            </w:r>
          </w:p>
        </w:tc>
        <w:tc>
          <w:tcPr>
            <w:tcW w:w="109" w:type="dxa"/>
            <w:tcBorders/>
            <w:vAlign w:val="center"/>
          </w:tcPr>
          <w:p>
            <w:pPr>
              <w:pStyle w:val="TableContents"/>
              <w:bidi w:val="0"/>
              <w:spacing w:lineRule="auto" w:line="285"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3,036</w:t>
            </w:r>
          </w:p>
        </w:tc>
      </w:tr>
    </w:tbl>
    <w:p>
      <w:pPr>
        <w:pStyle w:val="TextBody"/>
        <w:bidi w:val="0"/>
        <w:spacing w:lineRule="auto" w:line="285" w:before="0" w:after="0"/>
        <w:ind w:left="0" w:right="0" w:hanging="0"/>
        <w:jc w:val="left"/>
        <w:rPr/>
      </w:pPr>
      <w:r>
        <w:rPr/>
        <w:t>​</w:t>
      </w:r>
    </w:p>
    <w:p>
      <w:pPr>
        <w:pStyle w:val="TextBody"/>
        <w:bidi w:val="0"/>
        <w:spacing w:lineRule="auto" w:line="285" w:before="240" w:after="240"/>
        <w:ind w:left="0" w:right="0" w:firstLine="490"/>
        <w:jc w:val="both"/>
        <w:rPr>
          <w:rFonts w:ascii="Times New Roman;Times;serif" w:hAnsi="Times New Roman;Times;serif"/>
          <w:sz w:val="20"/>
        </w:rPr>
      </w:pPr>
      <w:r>
        <w:rPr>
          <w:rFonts w:ascii="Times New Roman;Times;serif" w:hAnsi="Times New Roman;Times;serif"/>
          <w:sz w:val="20"/>
        </w:rPr>
        <w:t>The reconciliation of the Company’s Adjusted EBITDA to net income (loss) which are the most directly comparable GAAP financial measures, are provided in the following tables (in thousands):</w:t>
      </w:r>
    </w:p>
    <w:tbl>
      <w:tblPr>
        <w:tblW w:w="8153" w:type="dxa"/>
        <w:jc w:val="left"/>
        <w:tblInd w:w="0" w:type="dxa"/>
        <w:tblLayout w:type="fixed"/>
        <w:tblCellMar>
          <w:top w:w="0" w:type="dxa"/>
          <w:left w:w="0" w:type="dxa"/>
          <w:bottom w:w="0" w:type="dxa"/>
          <w:right w:w="0" w:type="dxa"/>
        </w:tblCellMar>
      </w:tblPr>
      <w:tblGrid>
        <w:gridCol w:w="2236"/>
        <w:gridCol w:w="208"/>
        <w:gridCol w:w="542"/>
        <w:gridCol w:w="109"/>
        <w:gridCol w:w="216"/>
        <w:gridCol w:w="564"/>
        <w:gridCol w:w="109"/>
        <w:gridCol w:w="269"/>
        <w:gridCol w:w="826"/>
        <w:gridCol w:w="109"/>
        <w:gridCol w:w="196"/>
        <w:gridCol w:w="631"/>
        <w:gridCol w:w="109"/>
        <w:gridCol w:w="216"/>
        <w:gridCol w:w="564"/>
        <w:gridCol w:w="109"/>
        <w:gridCol w:w="275"/>
        <w:gridCol w:w="865"/>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19860" cy="175260"/>
                      <wp:effectExtent l="0" t="0" r="0" b="0"/>
                      <wp:wrapNone/>
                      <wp:docPr id="113" name="Frame113"/>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44170" cy="175260"/>
                      <wp:effectExtent l="0" t="0" r="0" b="0"/>
                      <wp:wrapNone/>
                      <wp:docPr id="114" name="Frame114"/>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58140" cy="175260"/>
                      <wp:effectExtent l="0" t="0" r="0" b="0"/>
                      <wp:wrapNone/>
                      <wp:docPr id="116" name="Frame116"/>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24510" cy="175260"/>
                      <wp:effectExtent l="0" t="0" r="0" b="0"/>
                      <wp:wrapNone/>
                      <wp:docPr id="118" name="Frame11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00685" cy="175260"/>
                      <wp:effectExtent l="0" t="0" r="0" b="0"/>
                      <wp:wrapNone/>
                      <wp:docPr id="120" name="Frame12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58140" cy="175260"/>
                      <wp:effectExtent l="0" t="0" r="0" b="0"/>
                      <wp:wrapNone/>
                      <wp:docPr id="122" name="Frame122"/>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49275" cy="175260"/>
                      <wp:effectExtent l="0" t="0" r="0" b="0"/>
                      <wp:wrapNone/>
                      <wp:docPr id="124" name="Frame124"/>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5917"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2,276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5,538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1,766</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1,077</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194</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1,271</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pPr>
            <w:r>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2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10,160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pPr>
            <w:r>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2,338</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2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2,338</w:t>
            </w:r>
          </w:p>
        </w:tc>
      </w:tr>
    </w:tbl>
    <w:p>
      <w:pPr>
        <w:pStyle w:val="TextBody"/>
        <w:bidi w:val="0"/>
        <w:spacing w:lineRule="auto" w:line="285" w:before="0" w:after="0"/>
        <w:ind w:left="0" w:right="0" w:firstLine="490"/>
        <w:jc w:val="both"/>
        <w:rPr/>
      </w:pPr>
      <w:r>
        <w:rPr/>
        <w:t>​</w:t>
      </w:r>
    </w:p>
    <w:tbl>
      <w:tblPr>
        <w:tblW w:w="9640" w:type="dxa"/>
        <w:jc w:val="left"/>
        <w:tblInd w:w="0" w:type="dxa"/>
        <w:tblLayout w:type="fixed"/>
        <w:tblCellMar>
          <w:top w:w="0" w:type="dxa"/>
          <w:left w:w="0" w:type="dxa"/>
          <w:bottom w:w="0" w:type="dxa"/>
          <w:right w:w="0" w:type="dxa"/>
        </w:tblCellMar>
      </w:tblPr>
      <w:tblGrid>
        <w:gridCol w:w="3676"/>
        <w:gridCol w:w="208"/>
        <w:gridCol w:w="542"/>
        <w:gridCol w:w="109"/>
        <w:gridCol w:w="196"/>
        <w:gridCol w:w="631"/>
        <w:gridCol w:w="109"/>
        <w:gridCol w:w="269"/>
        <w:gridCol w:w="826"/>
        <w:gridCol w:w="109"/>
        <w:gridCol w:w="196"/>
        <w:gridCol w:w="631"/>
        <w:gridCol w:w="109"/>
        <w:gridCol w:w="216"/>
        <w:gridCol w:w="564"/>
        <w:gridCol w:w="109"/>
        <w:gridCol w:w="275"/>
        <w:gridCol w:w="865"/>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334260" cy="175260"/>
                      <wp:effectExtent l="0" t="0" r="0" b="0"/>
                      <wp:wrapNone/>
                      <wp:docPr id="125" name="Frame125"/>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44170" cy="175260"/>
                      <wp:effectExtent l="0" t="0" r="0" b="0"/>
                      <wp:wrapNone/>
                      <wp:docPr id="126" name="Frame126"/>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00685" cy="175260"/>
                      <wp:effectExtent l="0" t="0" r="0" b="0"/>
                      <wp:wrapNone/>
                      <wp:docPr id="128" name="Frame12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24510" cy="175260"/>
                      <wp:effectExtent l="0" t="0" r="0" b="0"/>
                      <wp:wrapNone/>
                      <wp:docPr id="130" name="Frame13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00685" cy="175260"/>
                      <wp:effectExtent l="0" t="0" r="0" b="0"/>
                      <wp:wrapNone/>
                      <wp:docPr id="132" name="Frame13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58140" cy="175260"/>
                      <wp:effectExtent l="0" t="0" r="0" b="0"/>
                      <wp:wrapNone/>
                      <wp:docPr id="134" name="Frame134"/>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49275" cy="175260"/>
                      <wp:effectExtent l="0" t="0" r="0" b="0"/>
                      <wp:wrapNone/>
                      <wp:docPr id="136" name="Frame136"/>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5964"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operating activities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1,899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(2,364)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1,544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1,752</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2,809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8,054</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10,863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(4,530)</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5,587</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1,057</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Non-cash adjustments to net income (loss)</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(471)</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4,530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center"/>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10,160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center"/>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5,741</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vAlign w:val="center"/>
          </w:tcPr>
          <w:p>
            <w:pPr>
              <w:pStyle w:val="TableContents"/>
              <w:bidi w:val="0"/>
              <w:spacing w:lineRule="auto" w:line="285" w:before="0" w:after="0"/>
              <w:ind w:left="0" w:right="0" w:hanging="0"/>
              <w:jc w:val="center"/>
              <w:rPr/>
            </w:pPr>
            <w:r>
              <w:rPr/>
              <w:t>​</w:t>
            </w:r>
          </w:p>
        </w:tc>
        <w:tc>
          <w:tcPr>
            <w:tcW w:w="86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2,338</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5,225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10,855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5,741</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5"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2,338</w:t>
            </w:r>
          </w:p>
        </w:tc>
      </w:tr>
    </w:tbl>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533"/>
        <w:jc w:val="both"/>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6. DEBT</w:t>
      </w:r>
    </w:p>
    <w:p>
      <w:pPr>
        <w:pStyle w:val="TextBody"/>
        <w:bidi w:val="0"/>
        <w:spacing w:lineRule="auto" w:line="268" w:before="0" w:after="240"/>
        <w:ind w:left="0" w:right="0" w:hanging="0"/>
        <w:jc w:val="left"/>
        <w:rPr>
          <w:rFonts w:ascii="Times New Roman;Times;serif" w:hAnsi="Times New Roman;Times;serif"/>
          <w:b/>
          <w:sz w:val="20"/>
        </w:rPr>
      </w:pPr>
      <w:r>
        <w:rPr>
          <w:rFonts w:ascii="Times New Roman;Times;serif" w:hAnsi="Times New Roman;Times;serif"/>
          <w:b/>
          <w:sz w:val="20"/>
        </w:rPr>
        <w:t>Equify Revolving Credit Note (related party)</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On October 31, 2025, Dawson Geophysical Company (the “Company”) and Dawson Operating LLC, a Texas limited liability company and a wholly owned subsidiary of the Company (“Dawson Operating” and together with the Company, the “Borrowers”), entered into a Revolving Credit Note (the “Revolving Credit Note”) in favor of Equify Financial, as lender (the “Lender”). Dan Wilks and Farris Wilks, together with certain of their affiliates, collectively hold a controlling interest in the Company and in Equify.</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Pursuant to the Revolving Credit Note, the Borrowers, jointly and severally, may, from time to time until November 20, 2028, request loans from the Lender for up to an aggregate principal amount of $5,035,032. The loans outstanding under the Revolving Credit Note are payable by the Borrowers in thirty-six (36) monthly installments of principal in the amount of $139,862, together with all accrued and unpaid interest on the outstanding principal balance thereunder, commencing on December 20, 2025, and continuing thereafter until the maturity date. The interest rate applicable to loans outstanding under the Revolving Credit Note is a rate per annum equal to 13%.</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The maximum borrowing limit under the Revolving Credit Note is initially $5,035,032, and such amount is reduced by $139,862 on each monthly payment date. During the three months ended March 31, 2026, the Company borrowed and repaid approximately $4.3 million on this revolving credit note. As of March 31, 2026 the amount available to draw on this revolving credit note was approximately $4.5 million, and there were no amounts outstanding. The Borrowers may prepay up to 75% of the then outstanding principal and accrued but unpaid interest at any time without a prepayment fee.</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The obligations under the Revolving Credit Note are secured by a lien on the Company’s vibrator energy source vehicles, pursuant to a Security Agreement by and between the Company and Equify, dated as of October 31, 2025.</w:t>
      </w:r>
    </w:p>
    <w:p>
      <w:pPr>
        <w:pStyle w:val="TextBody"/>
        <w:bidi w:val="0"/>
        <w:spacing w:lineRule="auto" w:line="268" w:before="0" w:after="240"/>
        <w:ind w:left="0" w:right="0" w:hanging="0"/>
        <w:jc w:val="left"/>
        <w:rPr>
          <w:rFonts w:ascii="Times New Roman;Times;serif" w:hAnsi="Times New Roman;Times;serif"/>
          <w:b/>
          <w:sz w:val="20"/>
        </w:rPr>
      </w:pPr>
      <w:r>
        <w:rPr>
          <w:rFonts w:ascii="Times New Roman;Times;serif" w:hAnsi="Times New Roman;Times;serif"/>
          <w:b/>
          <w:sz w:val="20"/>
        </w:rPr>
        <w:t>Letters of Credit</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As of March 31, 2026, the Company has one letter of credit in the amount of $370,000 to support our insurance policies. The letter of credit is secured by a certificate of deposit with First Financial Bank.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240"/>
        <w:ind w:left="0" w:right="0" w:hanging="0"/>
        <w:jc w:val="left"/>
        <w:rPr>
          <w:rFonts w:ascii="Times New Roman;Times;serif" w:hAnsi="Times New Roman;Times;serif"/>
          <w:b/>
          <w:sz w:val="20"/>
        </w:rPr>
      </w:pPr>
      <w:bookmarkStart w:id="760" w:name="Tc_NQLPzDic1EenceHnyli6Mg_6_2"/>
      <w:bookmarkStart w:id="761" w:name="Tc_Mmypk6fdJke1gOkPVlEqlw_6_0"/>
      <w:bookmarkStart w:id="762" w:name="Tc_VU1p5o_1MEW3YfSr8CUIIQ_5_3"/>
      <w:bookmarkStart w:id="763" w:name="Tc_HAVKVhDixkedTnco5leyzA_5_0"/>
      <w:bookmarkStart w:id="764" w:name="Tc_ZUorMIJ2gUyziUq1jpFNFQ_4_0"/>
      <w:bookmarkStart w:id="765" w:name="Tc_i5m1UyQ8V0G4PIkPV8BzMg_3_0"/>
      <w:bookmarkStart w:id="766" w:name="Tc_8cIklAsqFkKU-oRH4eEUHA_2_0"/>
      <w:bookmarkStart w:id="767" w:name="Tc_koRdHdkM6EmgbwgS4iRZ5Q_1_2"/>
      <w:bookmarkStart w:id="768" w:name="Tc_0ZRIluhgPECpJmKvcxeN-A_1_0"/>
      <w:bookmarkStart w:id="769" w:name="_82251e46_e7f1_4530_85c3_a5c98e37e2ce"/>
      <w:bookmarkStart w:id="770" w:name="Tc_fdo49eL8nEypTqcHrZESMg_4_2"/>
      <w:bookmarkStart w:id="771" w:name="Tc_pKywL4boHE6m5RARYuCHfw_4_0"/>
      <w:bookmarkStart w:id="772" w:name="Tc_m4kXEgrTa0iDrPT3hqqCFg_3_0"/>
      <w:bookmarkStart w:id="773" w:name="Tc_F_vhcwHx-UOjy4tld5c5Kw_2_0"/>
      <w:bookmarkStart w:id="774" w:name="Tc_0rEOGDwnaE-r_obrLSjywg_1_2"/>
      <w:bookmarkStart w:id="775" w:name="Tc_c_cvgvXwZUW-HRfyvrCu5A_1_0"/>
      <w:bookmarkStart w:id="776" w:name="_09575116_2851_40e1_85d1_51704315a037"/>
      <w:bookmarkStart w:id="777" w:name="Tc_LWXZYXj570qr72okbiTbQA_4_0"/>
      <w:bookmarkStart w:id="778" w:name="Tc_zU_pBrHr5k-ueOSDi4D6GQ_3_5"/>
      <w:bookmarkStart w:id="779" w:name="Tc_4DqbZJ2uJEeIsmvlWuxfUQ_3_2"/>
      <w:bookmarkStart w:id="780" w:name="Tc_lpc7efwjzE6923s6MsOZtA_3_0"/>
      <w:bookmarkStart w:id="781" w:name="Tc_HAHARjhgHEq_a5BnSd636w_2_0"/>
      <w:bookmarkStart w:id="782" w:name="Tc_A0co6bQmvkiRHCmdCaawuA_1_5"/>
      <w:bookmarkStart w:id="783" w:name="Tc_QEd3qml9uk6Em9qGU5-XYQ_1_2"/>
      <w:bookmarkStart w:id="784" w:name="_a34bca9a_72c9_4757_9709_d263aa528909"/>
      <w:bookmarkStart w:id="785" w:name="Tc_4eLKr1JRZUGrW79yzxhB_w_4_0"/>
      <w:bookmarkStart w:id="786" w:name="Tc_KFMcf2PIvk--pu70WtNrgw_3_5"/>
      <w:bookmarkStart w:id="787" w:name="Tc_FR92Kugy006BoBPYYJ9Vtw_3_2"/>
      <w:bookmarkStart w:id="788" w:name="Tc_DSIcrE5bGUCu5-tqllKysQ_3_0"/>
      <w:bookmarkStart w:id="789" w:name="Tc_cBEdpGcnD0OXEV5xn0fEIA_2_0"/>
      <w:bookmarkStart w:id="790" w:name="Tc_h-Nmp-N9oEuRpqGlTn9MvQ_1_5"/>
      <w:bookmarkStart w:id="791" w:name="Tc_qVmMM9Ew4EqFO1Q_X8ysVQ_1_2"/>
      <w:bookmarkStart w:id="792" w:name="_e44377c3_051b_4e49_8aec_692ac12a5fd5"/>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r>
        <w:rPr>
          <w:rFonts w:ascii="Times New Roman;Times;serif" w:hAnsi="Times New Roman;Times;serif"/>
          <w:b/>
          <w:sz w:val="20"/>
        </w:rPr>
        <w:t>Other Indebtedness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the Company has six Geospace Notes payable related to equipment purchases discussed in Note 3, totaling $16.1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the Company has three notes payable to finance companies for various insurance premiums totaling $260,000.</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the Company leases certain seismic recording equipment and vehicles under leases classified as finance leases. The Company’s Consolidated Balance Sheets as of March 31, 2026 and December 31, 2025 include finance lease liabilities of $2.6 million and $2.6 million, respectively.</w:t>
      </w:r>
    </w:p>
    <w:p>
      <w:pPr>
        <w:pStyle w:val="TextBody"/>
        <w:bidi w:val="0"/>
        <w:spacing w:lineRule="auto" w:line="268" w:before="0" w:after="240"/>
        <w:ind w:left="0" w:right="0" w:hanging="0"/>
        <w:jc w:val="left"/>
        <w:rPr>
          <w:rFonts w:ascii="Times New Roman;Times;serif" w:hAnsi="Times New Roman;Times;serif"/>
          <w:b/>
          <w:sz w:val="20"/>
        </w:rPr>
      </w:pPr>
      <w:r>
        <w:rPr>
          <w:rFonts w:ascii="Times New Roman;Times;serif" w:hAnsi="Times New Roman;Times;serif"/>
          <w:b/>
          <w:sz w:val="20"/>
        </w:rPr>
        <w:t>Maturities and Interest Rates of Debt</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tables set forth the aggregate principal amount (in thousands) under the Company’s outstanding notes payable and the interest rates as of March 31, 2026, and December 31, 2025:</w:t>
      </w:r>
    </w:p>
    <w:tbl>
      <w:tblPr>
        <w:tblW w:w="6995" w:type="dxa"/>
        <w:jc w:val="left"/>
        <w:tblInd w:w="0" w:type="dxa"/>
        <w:tblLayout w:type="fixed"/>
        <w:tblCellMar>
          <w:top w:w="0" w:type="dxa"/>
          <w:left w:w="0" w:type="dxa"/>
          <w:bottom w:w="0" w:type="dxa"/>
          <w:right w:w="0" w:type="dxa"/>
        </w:tblCellMar>
      </w:tblPr>
      <w:tblGrid>
        <w:gridCol w:w="3421"/>
        <w:gridCol w:w="346"/>
        <w:gridCol w:w="307"/>
        <w:gridCol w:w="984"/>
        <w:gridCol w:w="346"/>
        <w:gridCol w:w="360"/>
        <w:gridCol w:w="12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72335" cy="175260"/>
                      <wp:effectExtent l="0" t="0" r="0" b="0"/>
                      <wp:wrapNone/>
                      <wp:docPr id="137" name="Frame137"/>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94945" cy="175260"/>
                      <wp:effectExtent l="0" t="0" r="0" b="0"/>
                      <wp:wrapNone/>
                      <wp:docPr id="139" name="Frame139"/>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24840" cy="175260"/>
                      <wp:effectExtent l="0" t="0" r="0" b="0"/>
                      <wp:wrapNone/>
                      <wp:docPr id="140" name="Frame140"/>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28600" cy="175260"/>
                      <wp:effectExtent l="0" t="0" r="0" b="0"/>
                      <wp:wrapNone/>
                      <wp:docPr id="142" name="Frame1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81685" cy="175260"/>
                      <wp:effectExtent l="0" t="0" r="0" b="0"/>
                      <wp:wrapNone/>
                      <wp:docPr id="143" name="Frame143"/>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8"/>
              </w:rPr>
            </w:pPr>
            <w:r>
              <w:rPr>
                <w:rFonts w:ascii="Times New Roman;Times;serif" w:hAnsi="Times New Roman;Times;serif"/>
                <w:b/>
                <w:sz w:val="18"/>
              </w:rPr>
              <w:t>March 31, 2026</w:t>
            </w:r>
          </w:p>
        </w:tc>
        <w:tc>
          <w:tcPr>
            <w:tcW w:w="346" w:type="dxa"/>
            <w:tcBorders/>
            <w:vAlign w:val="center"/>
          </w:tcPr>
          <w:p>
            <w:pPr>
              <w:pStyle w:val="TableContents"/>
              <w:bidi w:val="0"/>
              <w:spacing w:lineRule="auto" w:line="285" w:before="0" w:after="1"/>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4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Geospace Notes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shd w:fill="CCEEFF" w:val="clear"/>
            <w:vAlign w:val="center"/>
          </w:tcPr>
          <w:p>
            <w:pPr>
              <w:pStyle w:val="TableContents"/>
              <w:bidi w:val="0"/>
              <w:spacing w:lineRule="auto" w:line="285" w:before="0" w:after="0"/>
              <w:ind w:left="0" w:right="0" w:hanging="0"/>
              <w:jc w:val="left"/>
              <w:rPr/>
            </w:pPr>
            <w:r>
              <w:rPr/>
              <w:t>​</w:t>
            </w:r>
          </w:p>
        </w:tc>
        <w:tc>
          <w:tcPr>
            <w:tcW w:w="984" w:type="dxa"/>
            <w:tcBorders/>
            <w:shd w:fill="CCEEFF" w:val="clear"/>
            <w:vAlign w:val="center"/>
          </w:tcPr>
          <w:p>
            <w:pPr>
              <w:pStyle w:val="TableContents"/>
              <w:bidi w:val="0"/>
              <w:spacing w:lineRule="auto" w:line="285" w:before="0" w:after="1"/>
              <w:ind w:left="0" w:right="0" w:hanging="0"/>
              <w:jc w:val="left"/>
              <w:rPr/>
            </w:pPr>
            <w:r>
              <w:rPr/>
              <w:t>  ​ ​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pPr>
            <w:r>
              <w:rPr/>
              <w:t>​</w:t>
            </w:r>
          </w:p>
        </w:tc>
        <w:tc>
          <w:tcPr>
            <w:tcW w:w="1231" w:type="dxa"/>
            <w:tcBorders/>
            <w:shd w:fill="CCEEFF" w:val="clear"/>
            <w:vAlign w:val="center"/>
          </w:tcPr>
          <w:p>
            <w:pPr>
              <w:pStyle w:val="TableContents"/>
              <w:bidi w:val="0"/>
              <w:spacing w:lineRule="auto" w:line="285" w:before="0" w:after="1"/>
              <w:ind w:left="0" w:right="0" w:hanging="0"/>
              <w:jc w:val="left"/>
              <w:rPr/>
            </w:pPr>
            <w:r>
              <w:rPr/>
              <w:t>  ​ ​ ​</w:t>
            </w:r>
          </w:p>
        </w:tc>
      </w:tr>
      <w:tr>
        <w:trPr/>
        <w:tc>
          <w:tcPr>
            <w:tcW w:w="342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Aggregate principal amount outstanding</w:t>
            </w:r>
          </w:p>
        </w:tc>
        <w:tc>
          <w:tcPr>
            <w:tcW w:w="346" w:type="dxa"/>
            <w:tcBorders/>
            <w:vAlign w:val="center"/>
          </w:tcPr>
          <w:p>
            <w:pPr>
              <w:pStyle w:val="TableContents"/>
              <w:bidi w:val="0"/>
              <w:spacing w:lineRule="auto" w:line="285" w:before="0" w:after="0"/>
              <w:ind w:left="0" w:right="0" w:hanging="0"/>
              <w:jc w:val="left"/>
              <w:rPr/>
            </w:pPr>
            <w:r>
              <w:rPr/>
              <w:t>​</w:t>
            </w:r>
          </w:p>
        </w:tc>
        <w:tc>
          <w:tcPr>
            <w:tcW w:w="307"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16,142</w:t>
            </w:r>
          </w:p>
        </w:tc>
        <w:tc>
          <w:tcPr>
            <w:tcW w:w="346"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14,731</w:t>
            </w:r>
          </w:p>
        </w:tc>
      </w:tr>
      <w:tr>
        <w:trPr/>
        <w:tc>
          <w:tcPr>
            <w:tcW w:w="34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Interest rate of 8.75%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shd w:fill="CCEEFF" w:val="clear"/>
            <w:vAlign w:val="center"/>
          </w:tcPr>
          <w:p>
            <w:pPr>
              <w:pStyle w:val="TableContents"/>
              <w:bidi w:val="0"/>
              <w:spacing w:lineRule="auto" w:line="285" w:before="0" w:after="0"/>
              <w:ind w:left="0" w:right="0" w:hanging="0"/>
              <w:jc w:val="left"/>
              <w:rPr/>
            </w:pPr>
            <w:r>
              <w:rPr/>
              <w:t>​</w:t>
            </w:r>
          </w:p>
        </w:tc>
        <w:tc>
          <w:tcPr>
            <w:tcW w:w="984"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pPr>
            <w:r>
              <w:rPr/>
              <w:t>​</w:t>
            </w:r>
          </w:p>
        </w:tc>
        <w:tc>
          <w:tcPr>
            <w:tcW w:w="123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314" w:before="0" w:after="120"/>
        <w:ind w:left="0" w:right="0" w:firstLine="490"/>
        <w:jc w:val="both"/>
        <w:rPr/>
      </w:pPr>
      <w:r>
        <w:rPr/>
        <w:t>​</w:t>
      </w:r>
    </w:p>
    <w:tbl>
      <w:tblPr>
        <w:tblW w:w="7358" w:type="dxa"/>
        <w:jc w:val="left"/>
        <w:tblInd w:w="0" w:type="dxa"/>
        <w:tblLayout w:type="fixed"/>
        <w:tblCellMar>
          <w:top w:w="0" w:type="dxa"/>
          <w:left w:w="0" w:type="dxa"/>
          <w:bottom w:w="0" w:type="dxa"/>
          <w:right w:w="0" w:type="dxa"/>
        </w:tblCellMar>
      </w:tblPr>
      <w:tblGrid>
        <w:gridCol w:w="4021"/>
        <w:gridCol w:w="346"/>
        <w:gridCol w:w="431"/>
        <w:gridCol w:w="860"/>
        <w:gridCol w:w="109"/>
        <w:gridCol w:w="495"/>
        <w:gridCol w:w="109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553335" cy="175260"/>
                      <wp:effectExtent l="0" t="0" r="0" b="0"/>
                      <wp:wrapNone/>
                      <wp:docPr id="144" name="Frame144"/>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73685" cy="175260"/>
                      <wp:effectExtent l="0" t="0" r="0" b="0"/>
                      <wp:wrapNone/>
                      <wp:docPr id="146" name="Frame146"/>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46100" cy="175260"/>
                      <wp:effectExtent l="0" t="0" r="0" b="0"/>
                      <wp:wrapNone/>
                      <wp:docPr id="147" name="Frame147"/>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14325" cy="175260"/>
                      <wp:effectExtent l="0" t="0" r="0" b="0"/>
                      <wp:wrapNone/>
                      <wp:docPr id="149" name="Frame149"/>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5960" cy="175260"/>
                      <wp:effectExtent l="0" t="0" r="0" b="0"/>
                      <wp:wrapNone/>
                      <wp:docPr id="150" name="Frame15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March 31, 2026</w:t>
            </w:r>
          </w:p>
        </w:tc>
        <w:tc>
          <w:tcPr>
            <w:tcW w:w="109" w:type="dxa"/>
            <w:tcBorders/>
            <w:vAlign w:val="center"/>
          </w:tcPr>
          <w:p>
            <w:pPr>
              <w:pStyle w:val="TableContents"/>
              <w:bidi w:val="0"/>
              <w:spacing w:lineRule="auto" w:line="285"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Notes payable to finance company for insurance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left"/>
              <w:rPr/>
            </w:pPr>
            <w:r>
              <w:rPr/>
              <w:t>​</w:t>
            </w:r>
          </w:p>
        </w:tc>
        <w:tc>
          <w:tcPr>
            <w:tcW w:w="860"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95" w:type="dxa"/>
            <w:tcBorders/>
            <w:shd w:fill="CCEEFF" w:val="clear"/>
            <w:vAlign w:val="center"/>
          </w:tcPr>
          <w:p>
            <w:pPr>
              <w:pStyle w:val="TableContents"/>
              <w:bidi w:val="0"/>
              <w:spacing w:lineRule="auto" w:line="285" w:before="0" w:after="0"/>
              <w:ind w:left="0" w:right="0" w:hanging="0"/>
              <w:jc w:val="left"/>
              <w:rPr/>
            </w:pPr>
            <w:r>
              <w:rPr/>
              <w:t>​</w:t>
            </w:r>
          </w:p>
        </w:tc>
        <w:tc>
          <w:tcPr>
            <w:tcW w:w="1096" w:type="dxa"/>
            <w:tcBorders/>
            <w:shd w:fill="CCEEFF" w:val="clear"/>
            <w:vAlign w:val="center"/>
          </w:tcPr>
          <w:p>
            <w:pPr>
              <w:pStyle w:val="TableContents"/>
              <w:bidi w:val="0"/>
              <w:spacing w:lineRule="auto" w:line="285" w:before="0" w:after="0"/>
              <w:ind w:left="0" w:right="0" w:hanging="0"/>
              <w:jc w:val="right"/>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Aggregate principal amount outstanding</w:t>
            </w:r>
          </w:p>
        </w:tc>
        <w:tc>
          <w:tcPr>
            <w:tcW w:w="346" w:type="dxa"/>
            <w:tcBorders/>
            <w:vAlign w:val="center"/>
          </w:tcPr>
          <w:p>
            <w:pPr>
              <w:pStyle w:val="TableContents"/>
              <w:bidi w:val="0"/>
              <w:spacing w:lineRule="auto" w:line="285" w:before="0" w:after="0"/>
              <w:ind w:left="0" w:right="0" w:hanging="0"/>
              <w:jc w:val="left"/>
              <w:rPr/>
            </w:pPr>
            <w:r>
              <w:rPr/>
              <w:t>​</w:t>
            </w:r>
          </w:p>
        </w:tc>
        <w:tc>
          <w:tcPr>
            <w:tcW w:w="4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vAlign w:val="center"/>
          </w:tcPr>
          <w:p>
            <w:pPr>
              <w:pStyle w:val="TableContents"/>
              <w:bidi w:val="0"/>
              <w:spacing w:lineRule="auto" w:line="285" w:before="0" w:after="0"/>
              <w:ind w:left="0" w:right="0" w:hanging="0"/>
              <w:jc w:val="left"/>
              <w:rPr/>
            </w:pPr>
            <w:r>
              <w:rPr/>
              <w:t>​</w:t>
            </w:r>
          </w:p>
        </w:tc>
        <w:tc>
          <w:tcPr>
            <w:tcW w:w="49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rates range from 6.60% to 7.49%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left"/>
              <w:rPr/>
            </w:pPr>
            <w:r>
              <w:rPr/>
              <w:t>​</w:t>
            </w:r>
          </w:p>
        </w:tc>
        <w:tc>
          <w:tcPr>
            <w:tcW w:w="860"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95" w:type="dxa"/>
            <w:tcBorders/>
            <w:shd w:fill="CCEEFF" w:val="clear"/>
            <w:vAlign w:val="center"/>
          </w:tcPr>
          <w:p>
            <w:pPr>
              <w:pStyle w:val="TableContents"/>
              <w:bidi w:val="0"/>
              <w:spacing w:lineRule="auto" w:line="285" w:before="0" w:after="0"/>
              <w:ind w:left="0" w:right="0" w:hanging="0"/>
              <w:jc w:val="left"/>
              <w:rPr/>
            </w:pPr>
            <w:r>
              <w:rPr/>
              <w:t>​</w:t>
            </w:r>
          </w:p>
        </w:tc>
        <w:tc>
          <w:tcPr>
            <w:tcW w:w="1096"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aggregate maturities of notes payable as of March 31, 2026, are as follows (in thousands):</w:t>
      </w:r>
    </w:p>
    <w:tbl>
      <w:tblPr>
        <w:tblW w:w="4129" w:type="dxa"/>
        <w:jc w:val="left"/>
        <w:tblInd w:w="0" w:type="dxa"/>
        <w:tblLayout w:type="fixed"/>
        <w:tblCellMar>
          <w:top w:w="0" w:type="dxa"/>
          <w:left w:w="0" w:type="dxa"/>
          <w:bottom w:w="0" w:type="dxa"/>
          <w:right w:w="0" w:type="dxa"/>
        </w:tblCellMar>
      </w:tblPr>
      <w:tblGrid>
        <w:gridCol w:w="2761"/>
        <w:gridCol w:w="109"/>
        <w:gridCol w:w="211"/>
        <w:gridCol w:w="676"/>
        <w:gridCol w:w="109"/>
        <w:gridCol w:w="109"/>
        <w:gridCol w:w="154"/>
      </w:tblGrid>
      <w:tr>
        <w:trPr/>
        <w:tc>
          <w:tcPr>
            <w:tcW w:w="27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29260" cy="175260"/>
                      <wp:effectExtent l="0" t="0" r="0" b="0"/>
                      <wp:wrapNone/>
                      <wp:docPr id="153" name="Frame1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7790" cy="175260"/>
                      <wp:effectExtent l="0" t="0" r="0" b="0"/>
                      <wp:wrapNone/>
                      <wp:docPr id="156" name="Frame15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2026 - March 2027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2027 - March 2028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6,244</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2028 - March 2029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4,077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Obligations under notes payable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16,402</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240" w:after="240"/>
        <w:ind w:left="0" w:right="0" w:firstLine="490"/>
        <w:jc w:val="both"/>
        <w:rPr>
          <w:rFonts w:ascii="Times New Roman;Times;serif" w:hAnsi="Times New Roman;Times;serif"/>
          <w:sz w:val="20"/>
        </w:rPr>
      </w:pPr>
      <w:r>
        <w:rPr>
          <w:rFonts w:ascii="Times New Roman;Times;serif" w:hAnsi="Times New Roman;Times;serif"/>
          <w:sz w:val="20"/>
        </w:rPr>
        <w:t>The aggregate maturities of finance leases (net of imputed interest) as of March 31, 2026, are as follows (in thousands):</w:t>
      </w:r>
    </w:p>
    <w:tbl>
      <w:tblPr>
        <w:tblW w:w="4024" w:type="dxa"/>
        <w:jc w:val="left"/>
        <w:tblInd w:w="0" w:type="dxa"/>
        <w:tblLayout w:type="fixed"/>
        <w:tblCellMar>
          <w:top w:w="0" w:type="dxa"/>
          <w:left w:w="0" w:type="dxa"/>
          <w:bottom w:w="0" w:type="dxa"/>
          <w:right w:w="0" w:type="dxa"/>
        </w:tblCellMar>
      </w:tblPr>
      <w:tblGrid>
        <w:gridCol w:w="2761"/>
        <w:gridCol w:w="109"/>
        <w:gridCol w:w="211"/>
        <w:gridCol w:w="571"/>
        <w:gridCol w:w="109"/>
        <w:gridCol w:w="109"/>
        <w:gridCol w:w="154"/>
      </w:tblGrid>
      <w:tr>
        <w:trPr/>
        <w:tc>
          <w:tcPr>
            <w:tcW w:w="27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62585" cy="175260"/>
                      <wp:effectExtent l="0" t="0" r="0" b="0"/>
                      <wp:wrapNone/>
                      <wp:docPr id="159" name="Frame1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97790" cy="175260"/>
                      <wp:effectExtent l="0" t="0" r="0" b="0"/>
                      <wp:wrapNone/>
                      <wp:docPr id="162" name="Frame16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2026 - March 2027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2027 - March 2028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2028 - March 2029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2029 - March 2030</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2030 - March 2031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Obligations under finance leases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2,643</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Interest rates on these leases range from 4.86% to 13.33%.</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leases certain vehicles, seismic recording equipment, real property and office equipment under lease agreements. The Company evaluates each lease to determine its appropriate classification as an operating lease or finance lease for financial reporting purposes. The majority of our operating leases are non-cancelable operating leases for office and shop space in Midland and Plano Texas, and Calgary, Alberta. There have been no material changes to our other leases since the Company’s most recent Annual Report on Form 10-K that was filed with the SEC on March 31, 2026.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bookmarkStart w:id="793" w:name="Tc_CpYFB5zmk02IB55JBwTWmQ_12_5"/>
      <w:bookmarkStart w:id="794" w:name="Tc_vl3B_6wReE-VyG8fBNU12A_12_2"/>
      <w:bookmarkStart w:id="795" w:name="Tc_uNaeFrdrlEuU2B8TSWqYcg_12_0"/>
      <w:bookmarkStart w:id="796" w:name="Tc_vFCGYfdL10Oma-oSPtByIw_10_0"/>
      <w:bookmarkStart w:id="797" w:name="Tc_Lo4ZVINhj0mIrZHvxZnsbQ_8_0"/>
      <w:bookmarkStart w:id="798" w:name="Tc_fo0QgTlVhUyONBLZwvdV4A_7_6"/>
      <w:bookmarkStart w:id="799" w:name="Tc_6GIgJGsiuUi0PSMKx_mZHQ_7_3"/>
      <w:bookmarkStart w:id="800" w:name="Tc_-McK1oP1_0WNcdhd7xoF5A_7_0"/>
      <w:bookmarkStart w:id="801" w:name="Tc_iSFwFyXQrUKsSPqk7ivnMA_6_6"/>
      <w:bookmarkStart w:id="802" w:name="Tc_OpLnZ8csQEKhZ0PBYI2qBw_6_3"/>
      <w:bookmarkStart w:id="803" w:name="Tc_6wAEeW3eLk6ayvNhHDRk3w_6_0"/>
      <w:bookmarkStart w:id="804" w:name="Tc_D3IwtigJA063FtZ30ww0uQ_5_0"/>
      <w:bookmarkStart w:id="805" w:name="Tc_heW0CT1goEaU_KnFqNxmEg_4_0"/>
      <w:bookmarkStart w:id="806" w:name="Tc_VIS944_pAEGe_DQ_GuhY-w_3_0"/>
      <w:bookmarkStart w:id="807" w:name="Tc_o7QYXBeGXkmMPWzlmm-_rQ_2_5"/>
      <w:bookmarkStart w:id="808" w:name="Tc_rlQlzEissEW7Bu2UuqUKgg_2_2"/>
      <w:bookmarkStart w:id="809" w:name="Tc_GiviPiLUvkqs79Cl7hbXjA_2_0"/>
      <w:bookmarkStart w:id="810" w:name="Tc_BzERK6f7wUCq7F7WMEsYaA_1_5"/>
      <w:bookmarkStart w:id="811" w:name="Tc_nUbh4MbBCkSyUKaeZyxa-A_1_2"/>
      <w:bookmarkStart w:id="812" w:name="_22473a35_8e08_40b4_b032_a002fccb68e5"/>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r>
        <w:rPr>
          <w:rFonts w:ascii="Times New Roman;Times;serif" w:hAnsi="Times New Roman;Times;serif"/>
          <w:sz w:val="20"/>
        </w:rPr>
        <w:t>Maturities of lease liabilities as of March 31, 2026, are as follows (in thousands):</w:t>
      </w:r>
    </w:p>
    <w:tbl>
      <w:tblPr>
        <w:tblW w:w="6264" w:type="dxa"/>
        <w:jc w:val="left"/>
        <w:tblInd w:w="0" w:type="dxa"/>
        <w:tblLayout w:type="fixed"/>
        <w:tblCellMar>
          <w:top w:w="0" w:type="dxa"/>
          <w:left w:w="0" w:type="dxa"/>
          <w:bottom w:w="0" w:type="dxa"/>
          <w:right w:w="0" w:type="dxa"/>
        </w:tblCellMar>
      </w:tblPr>
      <w:tblGrid>
        <w:gridCol w:w="3301"/>
        <w:gridCol w:w="109"/>
        <w:gridCol w:w="388"/>
        <w:gridCol w:w="1052"/>
        <w:gridCol w:w="109"/>
        <w:gridCol w:w="310"/>
        <w:gridCol w:w="995"/>
      </w:tblGrid>
      <w:tr>
        <w:trPr/>
        <w:tc>
          <w:tcPr>
            <w:tcW w:w="33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46380" cy="175260"/>
                      <wp:effectExtent l="0" t="0" r="0" b="0"/>
                      <wp:wrapNone/>
                      <wp:docPr id="164" name="Frame164"/>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68020" cy="175260"/>
                      <wp:effectExtent l="0" t="0" r="0" b="0"/>
                      <wp:wrapNone/>
                      <wp:docPr id="165" name="Frame165"/>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96850" cy="175260"/>
                      <wp:effectExtent l="0" t="0" r="0" b="0"/>
                      <wp:wrapNone/>
                      <wp:docPr id="167" name="Frame16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31825" cy="175260"/>
                      <wp:effectExtent l="0" t="0" r="0" b="0"/>
                      <wp:wrapNone/>
                      <wp:docPr id="168" name="Frame168"/>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8"/>
              </w:rPr>
            </w:pPr>
            <w:r>
              <w:rPr>
                <w:rFonts w:ascii="Times New Roman;Times;serif" w:hAnsi="Times New Roman;Times;serif"/>
                <w:b/>
                <w:sz w:val="18"/>
              </w:rPr>
              <w:t>Operating Leases</w:t>
            </w:r>
          </w:p>
        </w:tc>
        <w:tc>
          <w:tcPr>
            <w:tcW w:w="109" w:type="dxa"/>
            <w:tcBorders/>
            <w:vAlign w:val="center"/>
          </w:tcPr>
          <w:p>
            <w:pPr>
              <w:pStyle w:val="TableContents"/>
              <w:bidi w:val="0"/>
              <w:spacing w:lineRule="auto" w:line="285"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8"/>
              </w:rPr>
            </w:pPr>
            <w:r>
              <w:rPr>
                <w:rFonts w:ascii="Times New Roman;Times;serif" w:hAnsi="Times New Roman;Times;serif"/>
                <w:b/>
                <w:sz w:val="18"/>
              </w:rPr>
              <w:t>Finance Leases</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April 2026 - March 2027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1,384</w:t>
            </w:r>
          </w:p>
        </w:tc>
      </w:tr>
      <w:tr>
        <w:trPr/>
        <w:tc>
          <w:tcPr>
            <w:tcW w:w="330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April 2027 - March 2028</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w:t>
            </w:r>
          </w:p>
        </w:tc>
        <w:tc>
          <w:tcPr>
            <w:tcW w:w="105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736</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9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984</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April 2028 - March 2029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w:t>
            </w:r>
          </w:p>
        </w:tc>
        <w:tc>
          <w:tcPr>
            <w:tcW w:w="10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675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330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April 2029 - March 2030</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w:t>
            </w:r>
          </w:p>
        </w:tc>
        <w:tc>
          <w:tcPr>
            <w:tcW w:w="105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9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April 2030 - March 2031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w:t>
            </w:r>
          </w:p>
        </w:tc>
        <w:tc>
          <w:tcPr>
            <w:tcW w:w="1052" w:type="dxa"/>
            <w:tcBorders/>
            <w:shd w:fill="CCEEFF" w:val="clear"/>
            <w:vAlign w:val="center"/>
          </w:tcPr>
          <w:p>
            <w:pPr>
              <w:pStyle w:val="TableContents"/>
              <w:bidi w:val="0"/>
              <w:spacing w:lineRule="auto" w:line="285" w:before="0"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95" w:type="dxa"/>
            <w:tcBorders/>
            <w:shd w:fill="CCEEFF" w:val="clear"/>
            <w:vAlign w:val="center"/>
          </w:tcPr>
          <w:p>
            <w:pPr>
              <w:pStyle w:val="TableContents"/>
              <w:bidi w:val="0"/>
              <w:spacing w:lineRule="auto" w:line="285" w:before="0" w:after="1"/>
              <w:ind w:left="0" w:right="0" w:hanging="0"/>
              <w:jc w:val="right"/>
              <w:rPr/>
            </w:pPr>
            <w:r>
              <w:rPr/>
              <w:t>—</w:t>
            </w:r>
          </w:p>
        </w:tc>
      </w:tr>
      <w:tr>
        <w:trPr/>
        <w:tc>
          <w:tcPr>
            <w:tcW w:w="330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payments under lease agreements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w:t>
            </w:r>
          </w:p>
        </w:tc>
        <w:tc>
          <w:tcPr>
            <w:tcW w:w="10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3,248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2,874</w: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w:t>
            </w:r>
          </w:p>
        </w:tc>
        <w:tc>
          <w:tcPr>
            <w:tcW w:w="1052"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95" w:type="dxa"/>
            <w:tcBorders/>
            <w:vAlign w:val="center"/>
          </w:tcPr>
          <w:p>
            <w:pPr>
              <w:pStyle w:val="TableContents"/>
              <w:bidi w:val="0"/>
              <w:spacing w:lineRule="auto" w:line="285" w:before="0" w:after="0"/>
              <w:ind w:left="0" w:right="0" w:hanging="0"/>
              <w:jc w:val="right"/>
              <w:rPr/>
            </w:pPr>
            <w:r>
              <w:rPr/>
              <w:t>​</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w:t>
            </w:r>
          </w:p>
        </w:tc>
        <w:tc>
          <w:tcPr>
            <w:tcW w:w="10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2,935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2,643</w:t>
            </w:r>
          </w:p>
        </w:tc>
      </w:tr>
    </w:tbl>
    <w:p>
      <w:pPr>
        <w:pStyle w:val="TextBody"/>
        <w:bidi w:val="0"/>
        <w:spacing w:lineRule="auto" w:line="314" w:before="0" w:after="120"/>
        <w:ind w:left="0" w:right="0" w:firstLine="490"/>
        <w:jc w:val="both"/>
        <w:rPr/>
      </w:pPr>
      <w:r>
        <w:rPr/>
        <w:t>​</w:t>
      </w:r>
    </w:p>
    <w:p>
      <w:pPr>
        <w:pStyle w:val="TextBody"/>
        <w:bidi w:val="0"/>
        <w:spacing w:lineRule="auto" w:line="314" w:before="0" w:after="120"/>
        <w:ind w:left="0" w:right="0" w:firstLine="490"/>
        <w:jc w:val="both"/>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sz w:val="22"/>
        </w:rPr>
        <w:t>8</w:t>
      </w:r>
      <w:r>
        <w:rPr>
          <w:rFonts w:ascii="Times New Roman;Times;serif" w:hAnsi="Times New Roman;Times;serif"/>
          <w:b/>
          <w:sz w:val="20"/>
        </w:rPr>
        <w:t xml:space="preserve">. COMMITMENTS AND CONTINGENCIES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From time to time, the Company is a party to various legal proceedings arising in the ordinary course of business. Although the Company cannot predict the outcomes of any such legal proceedings, management believes that the resolution of pending legal actions will not have a material adverse effect on the Company’s financial condition, results of operations or liquidity, as the Company believes it is adequately indemnified and insured.</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Additionally, the Company experiences contractual disputes with its clients from time to time regarding the payment of invoices or other matters. While the Company seeks to minimize these disputes and maintain good relations with its clients, the Company has experienced in the past, and may experience in the future, disputes that could affect its revenues and results of operations in any period. </w:t>
      </w:r>
    </w:p>
    <w:p>
      <w:pPr>
        <w:pStyle w:val="TextBody"/>
        <w:bidi w:val="0"/>
        <w:spacing w:lineRule="auto" w:line="285" w:before="0" w:after="240"/>
        <w:ind w:left="0" w:right="0" w:hanging="0"/>
        <w:jc w:val="left"/>
        <w:rPr>
          <w:rFonts w:ascii="Times New Roman;Times;serif" w:hAnsi="Times New Roman;Times;serif"/>
          <w:b/>
          <w:sz w:val="20"/>
        </w:rPr>
      </w:pPr>
      <w:bookmarkStart w:id="813" w:name="Tc_QyCDkTcWw0-gr2S0RPuAHg_9_5"/>
      <w:bookmarkStart w:id="814" w:name="Tc_3ZGA355dAkKd3_SJ8IraYQ_9_2"/>
      <w:bookmarkStart w:id="815" w:name="Tc_B7LxDYWE8EedlAimCz5SGQ_9_0"/>
      <w:bookmarkStart w:id="816" w:name="Tc_f-eaFhOqIk6OsP3eC0e7ag_8_5"/>
      <w:bookmarkStart w:id="817" w:name="Tc_uZFCP6X5ekasfe7C0bCrNA_8_2"/>
      <w:bookmarkStart w:id="818" w:name="Tc_QsWwHYKmu06jAnc4OjzDJQ_8_0"/>
      <w:bookmarkStart w:id="819" w:name="Tc_neV31iHzv0GT43G8ycBFcA_7_0"/>
      <w:bookmarkStart w:id="820" w:name="Tc_D4Ee1OtstUerLynd-5eANA_6_0"/>
      <w:bookmarkStart w:id="821" w:name="Tc_EZgFNGFZWUCInGnkCAZYUQ_5_0"/>
      <w:bookmarkStart w:id="822" w:name="Tc_mdpSGpXmak2lpxsAKHW4lA_4_0"/>
      <w:bookmarkStart w:id="823" w:name="Tc_0wyFYs9O8UCAv0DshblmWg_3_5"/>
      <w:bookmarkStart w:id="824" w:name="Tc_SfALQ6dzA06e4eyXWS8Nng_3_2"/>
      <w:bookmarkStart w:id="825" w:name="Tc_4jPCtlvvRUiunFmeqpT-hA_3_0"/>
      <w:bookmarkStart w:id="826" w:name="Tc_9OVcNciw5E-IY8Pu13ODmg_2_5"/>
      <w:bookmarkStart w:id="827" w:name="Tc_3t05LYMIDkuCkoJnEgaTIw_2_2"/>
      <w:bookmarkStart w:id="828" w:name="Tc_rNyBkzD-rkmlgUOKHXkyNQ_1_2"/>
      <w:bookmarkStart w:id="829" w:name="_10cd5115_5ff7_4771_b7a7_94170e1cdea4"/>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r>
        <w:rPr>
          <w:rFonts w:ascii="Times New Roman;Times;serif" w:hAnsi="Times New Roman;Times;serif"/>
          <w:b/>
          <w:sz w:val="20"/>
        </w:rPr>
        <w:t xml:space="preserve">9. NET INCOME PER SHARE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Basic income per share is computed by dividing the net income by the weighted average shares outstanding. Diluted income per share is computed by dividing the net income by the weighted average diluted shares outstanding.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computation of basic and diluted income per share (in thousands, except share and per share data) was as follows:</w:t>
      </w:r>
    </w:p>
    <w:tbl>
      <w:tblPr>
        <w:tblW w:w="10205" w:type="dxa"/>
        <w:jc w:val="left"/>
        <w:tblInd w:w="0" w:type="dxa"/>
        <w:tblLayout w:type="fixed"/>
        <w:tblCellMar>
          <w:top w:w="0" w:type="dxa"/>
          <w:left w:w="0" w:type="dxa"/>
          <w:bottom w:w="0" w:type="dxa"/>
          <w:right w:w="0" w:type="dxa"/>
        </w:tblCellMar>
      </w:tblPr>
      <w:tblGrid>
        <w:gridCol w:w="6828"/>
        <w:gridCol w:w="346"/>
        <w:gridCol w:w="211"/>
        <w:gridCol w:w="1036"/>
        <w:gridCol w:w="346"/>
        <w:gridCol w:w="211"/>
        <w:gridCol w:w="1036"/>
        <w:gridCol w:w="191"/>
      </w:tblGrid>
      <w:tr>
        <w:trPr/>
        <w:tc>
          <w:tcPr>
            <w:tcW w:w="6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335780" cy="175260"/>
                      <wp:effectExtent l="0" t="0" r="0" b="0"/>
                      <wp:wrapNone/>
                      <wp:docPr id="169" name="Frame169"/>
                      <a:graphic xmlns:a="http://schemas.openxmlformats.org/drawingml/2006/main">
                        <a:graphicData uri="http://schemas.microsoft.com/office/word/2010/wordprocessingShape">
                          <wps:wsp>
                            <wps:cNvSpPr txBox="1"/>
                            <wps:spPr>
                              <a:xfrm>
                                <a:off x="0" y="0"/>
                                <a:ext cx="4335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57860" cy="175260"/>
                      <wp:effectExtent l="0" t="0" r="0" b="0"/>
                      <wp:wrapNone/>
                      <wp:docPr id="172" name="Frame17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57860" cy="175260"/>
                      <wp:effectExtent l="0" t="0" r="0" b="0"/>
                      <wp:wrapNone/>
                      <wp:docPr id="175" name="Frame17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1285" cy="175260"/>
                      <wp:effectExtent l="0" t="0" r="0" b="0"/>
                      <wp:wrapNone/>
                      <wp:docPr id="176" name="Frame17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82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82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68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82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8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31,052,840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30,983,445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82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Dilutive common stock options, restricted stock unit awards and restricted stock awards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54,980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51,744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8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31,107,820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31,035,189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82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 income per share of common stock</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0.25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8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 income per share of common stock</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sz w:val="22"/>
        </w:rPr>
        <w:t>10</w:t>
      </w:r>
      <w:r>
        <w:rPr>
          <w:rFonts w:ascii="Times New Roman;Times;serif" w:hAnsi="Times New Roman;Times;serif"/>
          <w:b/>
          <w:sz w:val="20"/>
        </w:rPr>
        <w:t>. INCOME TAXES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For the three months ended March 31, 2026 and 2025, the Company’s effective tax rates were 0.1% and 0.3%, respectively. The Company’s nominal effective tax rate for the periods above was due to the presence of net operating loss carryovers and adjustments to the valuation allowance on deferred tax assets.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Company assesses the available positive and negative evidence to estimate whether sufficient future taxable income will be generated to permit the use of the existing deferred tax assets. A significant piece of objective negative evidence evaluated was the cumulative loss incurred over an extended amount of time. Such objective evidence limits the ability to consider other subjective evidence, such as projections for taxable earnings.</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has recorded valuation allowances against the associated deferred tax assets for the amounts it deems are not more likely than not realizable. Based on management’s belief that not all the net operating losses are realizable, a federal valuation allowance and additional state valuation allowances were maintained during the three months ended March 31, 2026 and, 2025. In addition, due to the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Company’s recent operating losses and valuation allowances, the Company may recognize reduced or no tax benefits on future losses on the condensed consolidated financial statements. The amount of the valuation allowances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projections for future growth.</w:t>
      </w:r>
    </w:p>
    <w:p>
      <w:pPr>
        <w:pStyle w:val="TextBody"/>
        <w:bidi w:val="0"/>
        <w:spacing w:lineRule="auto" w:line="285" w:before="0" w:after="240"/>
        <w:ind w:left="0" w:right="0" w:hanging="0"/>
        <w:jc w:val="left"/>
        <w:rPr>
          <w:rFonts w:ascii="Times New Roman;Times;serif" w:hAnsi="Times New Roman;Times;serif"/>
          <w:b/>
          <w:sz w:val="20"/>
        </w:rPr>
      </w:pPr>
      <w:bookmarkStart w:id="830" w:name="Tc_35q_lboL1ECoAOM2fZM9Rg_4_4"/>
      <w:bookmarkStart w:id="831" w:name="Tc__VpwrFnHIkuKzPP6sMp2FQ_4_1"/>
      <w:bookmarkStart w:id="832" w:name="Tc_mWroYBEpM0OK6eLvmD7LBg_4_0"/>
      <w:bookmarkStart w:id="833" w:name="Tc_AtFeAT0z80GMeypG6f3lZQ_3_4"/>
      <w:bookmarkStart w:id="834" w:name="Tc_CmVhg2xiMUiwOmnHdupLrQ_3_1"/>
      <w:bookmarkStart w:id="835" w:name="Tc_egOmYzk-D0W-dY5BgMdGDQ_3_0"/>
      <w:bookmarkStart w:id="836" w:name="Tc_1SfIRBowIEmvl_QL3tCcog_1_4"/>
      <w:bookmarkStart w:id="837" w:name="Tc_NYijrMk6dEqFVDK4wMxm4Q_1_1"/>
      <w:bookmarkStart w:id="838" w:name="_54bc781c_2635_4a79_9b28_b1655cdf70ee"/>
      <w:bookmarkStart w:id="839" w:name="Tc_s5gbnR8caUCQGSGEEgxU2w_6_4"/>
      <w:bookmarkStart w:id="840" w:name="Tc_lPF8ii6eK0yuv8j-PjCtqQ_6_1"/>
      <w:bookmarkStart w:id="841" w:name="Tc_FAQ25djIs0Kcror8A8HSNw_6_0"/>
      <w:bookmarkStart w:id="842" w:name="Tc_4AUKw7Bc20SjMyKCDC1dcw_5_0"/>
      <w:bookmarkStart w:id="843" w:name="Tc_hR4S6C8gDEyVrM_R67kFKQ_4_0"/>
      <w:bookmarkStart w:id="844" w:name="Tc_XVQXmuU9HUSlnHbBYrhs1w_3_4"/>
      <w:bookmarkStart w:id="845" w:name="Tc_yg5qAR-NzUiOvR_27k7KEA_3_1"/>
      <w:bookmarkStart w:id="846" w:name="Tc_MqoMWO8bNEWafoDWABMN9Q_3_0"/>
      <w:bookmarkStart w:id="847" w:name="Tc_rRSJVmuqH0Gp0djkgJawJw_1_4"/>
      <w:bookmarkStart w:id="848" w:name="Tc_kSThKDcWlkaE3EAtbSRatg_1_1"/>
      <w:bookmarkStart w:id="849" w:name="_1b5668aa_b622_4a57_89fa_635684240e44"/>
      <w:bookmarkStart w:id="850" w:name="Tc_DRK1Png8c0aylxoME0aj7A_6_4"/>
      <w:bookmarkStart w:id="851" w:name="Tc_rQAykJFWJEyXqvJqk47fCQ_6_1"/>
      <w:bookmarkStart w:id="852" w:name="Tc_GTFdaEVcFUyL6cny-tOW7A_6_0"/>
      <w:bookmarkStart w:id="853" w:name="Tc_x6DvONmEyk-QYpBoRli6mA_5_0"/>
      <w:bookmarkStart w:id="854" w:name="Tc_39o_1PXK206K7GG-lOEWSg_4_0"/>
      <w:bookmarkStart w:id="855" w:name="Tc_63pGh3xLuEGMtIb_TJH9VQ_3_4"/>
      <w:bookmarkStart w:id="856" w:name="Tc_Uc-KtLeB-ESIPHkJffhhNg_3_1"/>
      <w:bookmarkStart w:id="857" w:name="Tc_yFWisfEEv0emF5KN9oD0Xg_3_0"/>
      <w:bookmarkStart w:id="858" w:name="Tc_uj4s8hBSuEulctCjQaQbsQ_1_4"/>
      <w:bookmarkStart w:id="859" w:name="Tc_05JsKx3-cEiRm8xOm-KJSA_1_1"/>
      <w:bookmarkStart w:id="860" w:name="_91fe1ff6_0a83_452a_a613_53428135709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Pr>
          <w:rFonts w:ascii="Times New Roman;Times;serif" w:hAnsi="Times New Roman;Times;serif"/>
          <w:b/>
          <w:sz w:val="20"/>
        </w:rPr>
        <w:t>11. SUPPLEMENTAL CONSOLIDATED FINANCIAL STATEMENT INFORMATION</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Deferred Revenue</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Following is a summary of balances of and changes in deferred revenue (in thousands):</w:t>
      </w:r>
    </w:p>
    <w:p>
      <w:pPr>
        <w:pStyle w:val="TextBody"/>
        <w:bidi w:val="0"/>
        <w:spacing w:lineRule="auto" w:line="285" w:before="0" w:after="0"/>
        <w:ind w:left="0" w:right="0" w:firstLine="720"/>
        <w:jc w:val="both"/>
        <w:rPr/>
      </w:pPr>
      <w:r>
        <w:rPr/>
        <w:t>​</w:t>
      </w:r>
    </w:p>
    <w:tbl>
      <w:tblPr>
        <w:tblW w:w="8649" w:type="dxa"/>
        <w:jc w:val="left"/>
        <w:tblInd w:w="0" w:type="dxa"/>
        <w:tblLayout w:type="fixed"/>
        <w:tblCellMar>
          <w:top w:w="0" w:type="dxa"/>
          <w:left w:w="0" w:type="dxa"/>
          <w:bottom w:w="0" w:type="dxa"/>
          <w:right w:w="0" w:type="dxa"/>
        </w:tblCellMar>
      </w:tblPr>
      <w:tblGrid>
        <w:gridCol w:w="6841"/>
        <w:gridCol w:w="196"/>
        <w:gridCol w:w="631"/>
        <w:gridCol w:w="109"/>
        <w:gridCol w:w="196"/>
        <w:gridCol w:w="676"/>
      </w:tblGrid>
      <w:tr>
        <w:trPr/>
        <w:tc>
          <w:tcPr>
            <w:tcW w:w="6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344035" cy="175260"/>
                      <wp:effectExtent l="0" t="0" r="0" b="0"/>
                      <wp:wrapNone/>
                      <wp:docPr id="177" name="Frame177"/>
                      <a:graphic xmlns:a="http://schemas.openxmlformats.org/drawingml/2006/main">
                        <a:graphicData uri="http://schemas.microsoft.com/office/word/2010/wordprocessingShape">
                          <wps:wsp>
                            <wps:cNvSpPr txBox="1"/>
                            <wps:spPr>
                              <a:xfrm>
                                <a:off x="0" y="0"/>
                                <a:ext cx="434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4460" cy="175260"/>
                      <wp:effectExtent l="0" t="0" r="0" b="0"/>
                      <wp:wrapNone/>
                      <wp:docPr id="178"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00685" cy="175260"/>
                      <wp:effectExtent l="0" t="0" r="0" b="0"/>
                      <wp:wrapNone/>
                      <wp:docPr id="179" name="Frame17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24460" cy="175260"/>
                      <wp:effectExtent l="0" t="0" r="0" b="0"/>
                      <wp:wrapNone/>
                      <wp:docPr id="181" name="Frame1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29260" cy="175260"/>
                      <wp:effectExtent l="0" t="0" r="0" b="0"/>
                      <wp:wrapNone/>
                      <wp:docPr id="182" name="Frame1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6841"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7,477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1,570</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 recognized in the current year that was included in the beginning balance</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(7,352)</w:t>
            </w:r>
          </w:p>
        </w:tc>
        <w:tc>
          <w:tcPr>
            <w:tcW w:w="109"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(1,568)</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period unearned revenue related to uncompleted contracts at quarter end</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6,245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1,721</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6,370</w:t>
            </w:r>
          </w:p>
        </w:tc>
        <w:tc>
          <w:tcPr>
            <w:tcW w:w="109"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1,723</w:t>
            </w:r>
          </w:p>
        </w:tc>
      </w:tr>
    </w:tbl>
    <w:p>
      <w:pPr>
        <w:pStyle w:val="TextBody"/>
        <w:bidi w:val="0"/>
        <w:spacing w:lineRule="auto" w:line="285" w:before="0" w:after="0"/>
        <w:ind w:left="0" w:right="0" w:hanging="0"/>
        <w:jc w:val="left"/>
        <w:rPr/>
      </w:pPr>
      <w:r>
        <w:rPr/>
        <w:t>​</w:t>
      </w:r>
    </w:p>
    <w:p>
      <w:pPr>
        <w:pStyle w:val="TextBody"/>
        <w:bidi w:val="0"/>
        <w:spacing w:lineRule="auto" w:line="285" w:before="240" w:after="240"/>
        <w:ind w:left="0" w:right="0" w:firstLine="720"/>
        <w:jc w:val="left"/>
        <w:rPr>
          <w:rFonts w:ascii="Times New Roman;Times;serif" w:hAnsi="Times New Roman;Times;serif"/>
          <w:b/>
          <w:i/>
          <w:sz w:val="20"/>
        </w:rPr>
      </w:pPr>
      <w:r>
        <w:rPr>
          <w:rFonts w:ascii="Times New Roman;Times;serif" w:hAnsi="Times New Roman;Times;serif"/>
          <w:b/>
          <w:i/>
          <w:sz w:val="20"/>
        </w:rPr>
        <w:t>Deferred Costs and unbilled receivables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Following is a summary of balances of and changes in contract assets, which include unbilled receivables and deferred costs (in thousands):</w:t>
      </w:r>
    </w:p>
    <w:tbl>
      <w:tblPr>
        <w:tblW w:w="9549" w:type="dxa"/>
        <w:jc w:val="left"/>
        <w:tblInd w:w="0" w:type="dxa"/>
        <w:tblLayout w:type="fixed"/>
        <w:tblCellMar>
          <w:top w:w="0" w:type="dxa"/>
          <w:left w:w="0" w:type="dxa"/>
          <w:bottom w:w="0" w:type="dxa"/>
          <w:right w:w="0" w:type="dxa"/>
        </w:tblCellMar>
      </w:tblPr>
      <w:tblGrid>
        <w:gridCol w:w="7876"/>
        <w:gridCol w:w="196"/>
        <w:gridCol w:w="631"/>
        <w:gridCol w:w="109"/>
        <w:gridCol w:w="196"/>
        <w:gridCol w:w="541"/>
      </w:tblGrid>
      <w:tr>
        <w:trPr/>
        <w:tc>
          <w:tcPr>
            <w:tcW w:w="7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001260" cy="175260"/>
                      <wp:effectExtent l="0" t="0" r="0" b="0"/>
                      <wp:wrapNone/>
                      <wp:docPr id="183" name="Frame183"/>
                      <a:graphic xmlns:a="http://schemas.openxmlformats.org/drawingml/2006/main">
                        <a:graphicData uri="http://schemas.microsoft.com/office/word/2010/wordprocessingShape">
                          <wps:wsp>
                            <wps:cNvSpPr txBox="1"/>
                            <wps:spPr>
                              <a:xfrm>
                                <a:off x="0" y="0"/>
                                <a:ext cx="5001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24460" cy="175260"/>
                      <wp:effectExtent l="0" t="0" r="0" b="0"/>
                      <wp:wrapNone/>
                      <wp:docPr id="184" name="Frame1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00685" cy="175260"/>
                      <wp:effectExtent l="0" t="0" r="0" b="0"/>
                      <wp:wrapNone/>
                      <wp:docPr id="185" name="Frame18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4460" cy="175260"/>
                      <wp:effectExtent l="0" t="0" r="0" b="0"/>
                      <wp:wrapNone/>
                      <wp:docPr id="187" name="Frame1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43535" cy="175260"/>
                      <wp:effectExtent l="0" t="0" r="0" b="0"/>
                      <wp:wrapNone/>
                      <wp:docPr id="188" name="Frame18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87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73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787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r>
      <w:tr>
        <w:trPr/>
        <w:tc>
          <w:tcPr>
            <w:tcW w:w="78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391</w:t>
            </w:r>
          </w:p>
        </w:tc>
      </w:tr>
      <w:tr>
        <w:trPr/>
        <w:tc>
          <w:tcPr>
            <w:tcW w:w="7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Billings and costs recognized in the current year that were included in the beginning balance</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(3,738)</w:t>
            </w:r>
          </w:p>
        </w:tc>
        <w:tc>
          <w:tcPr>
            <w:tcW w:w="109"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54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(391)</w:t>
            </w:r>
          </w:p>
        </w:tc>
      </w:tr>
      <w:tr>
        <w:trPr/>
        <w:tc>
          <w:tcPr>
            <w:tcW w:w="78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Unbilled receivables and deferred costs incurred related to uncompleted contracts at quarter end</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7,013</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728</w:t>
            </w:r>
          </w:p>
        </w:tc>
      </w:tr>
      <w:tr>
        <w:trPr/>
        <w:tc>
          <w:tcPr>
            <w:tcW w:w="7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3,279</w:t>
            </w:r>
          </w:p>
        </w:tc>
        <w:tc>
          <w:tcPr>
            <w:tcW w:w="109"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728</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Accounts Receivable </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Following is a summary of balances of accounts receivable (in thousands):</w:t>
      </w:r>
    </w:p>
    <w:tbl>
      <w:tblPr>
        <w:tblW w:w="3504" w:type="dxa"/>
        <w:jc w:val="left"/>
        <w:tblInd w:w="0" w:type="dxa"/>
        <w:tblLayout w:type="fixed"/>
        <w:tblCellMar>
          <w:top w:w="0" w:type="dxa"/>
          <w:left w:w="0" w:type="dxa"/>
          <w:bottom w:w="0" w:type="dxa"/>
          <w:right w:w="0" w:type="dxa"/>
        </w:tblCellMar>
      </w:tblPr>
      <w:tblGrid>
        <w:gridCol w:w="1696"/>
        <w:gridCol w:w="196"/>
        <w:gridCol w:w="601"/>
        <w:gridCol w:w="109"/>
        <w:gridCol w:w="196"/>
        <w:gridCol w:w="70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076960" cy="175260"/>
                      <wp:effectExtent l="0" t="0" r="0" b="0"/>
                      <wp:wrapNone/>
                      <wp:docPr id="189" name="Frame189"/>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24460" cy="175260"/>
                      <wp:effectExtent l="0" t="0" r="0" b="0"/>
                      <wp:wrapNone/>
                      <wp:docPr id="190" name="Frame1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81635" cy="175260"/>
                      <wp:effectExtent l="0" t="0" r="0" b="0"/>
                      <wp:wrapNone/>
                      <wp:docPr id="191" name="Frame19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93" name="Frame1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48310" cy="175260"/>
                      <wp:effectExtent l="0" t="0" r="0" b="0"/>
                      <wp:wrapNone/>
                      <wp:docPr id="194" name="Frame19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lineRule="auto" w:line="285"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169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06" w:type="dxa"/>
            <w:tcBorders/>
            <w:vAlign w:val="center"/>
          </w:tcPr>
          <w:p>
            <w:pPr>
              <w:pStyle w:val="TableContents"/>
              <w:bidi w:val="0"/>
              <w:spacing w:lineRule="auto" w:line="285" w:before="0" w:after="0"/>
              <w:ind w:left="0" w:right="0" w:hanging="0"/>
              <w:jc w:val="left"/>
              <w:rPr/>
            </w:pPr>
            <w:r>
              <w:rPr/>
              <w:t>​</w:t>
            </w:r>
          </w:p>
        </w:tc>
      </w:tr>
      <w:tr>
        <w:trPr/>
        <w:tc>
          <w:tcPr>
            <w:tcW w:w="1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9,360</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9,921</w:t>
            </w:r>
          </w:p>
        </w:tc>
      </w:tr>
      <w:tr>
        <w:trPr/>
        <w:tc>
          <w:tcPr>
            <w:tcW w:w="16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19,408</w:t>
            </w:r>
          </w:p>
        </w:tc>
        <w:tc>
          <w:tcPr>
            <w:tcW w:w="109"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11,007</w:t>
            </w:r>
          </w:p>
        </w:tc>
      </w:tr>
    </w:tbl>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For the three months ended March 31, 2026, the Company incurred related party expenses totaling approximately $52,000. These are charges by various commonly controlled companies of Wilks Brothers, LLC, the holder of approximately 79% of the Company’s outstanding stock. All transactions for the year consisted of interest charges related to our Equify revolving credit note, further discussed in Note 6. As of March 31, 2026, the Company had no outstanding related party accounts payable.</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For the three months ended March 31, 2025, the Company incurred related party expenses totaling approximately $74,000. All transactions consisted of trucking charges.</w:t>
      </w:r>
    </w:p>
    <w:p>
      <w:pPr>
        <w:pStyle w:val="TextBody"/>
        <w:bidi w:val="0"/>
        <w:spacing w:lineRule="auto" w:line="285" w:before="240" w:after="240"/>
        <w:ind w:left="0" w:right="0" w:hanging="0"/>
        <w:jc w:val="both"/>
        <w:rPr>
          <w:rFonts w:ascii="Times New Roman;Times;serif" w:hAnsi="Times New Roman;Times;serif"/>
          <w:b/>
          <w:sz w:val="20"/>
        </w:rPr>
      </w:pPr>
      <w:bookmarkStart w:id="861" w:name="ITEM2MANAGEMENTSDISCUSSIONANDANALYSIS_23"/>
      <w:bookmarkStart w:id="862" w:name="_b418a39a_396d_46b7_9258_45792072c999"/>
      <w:bookmarkEnd w:id="861"/>
      <w:bookmarkEnd w:id="862"/>
      <w:r>
        <w:rPr>
          <w:rFonts w:ascii="Times New Roman;Times;serif" w:hAnsi="Times New Roman;Times;serif"/>
          <w:b/>
          <w:sz w:val="20"/>
        </w:rPr>
        <w:t>ITEM 2. MANAGEMENT’S DISCUSSION AND ANALYSIS OF FINANCIAL CONDITION AND RESULTS OF OPERATIONS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Forward Looking Statements</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 contained in this Quarterly Report on Form 10-Q are forward-looking statements, including without limitation statements regarding our forecasts, estimates or other expectations regarding future events, operations or financial results, including statements under “Management’s Discussion and Analysis of Financial Condition and Results of Operations” regarding technological advancements and our financial position, business strategy, and plans and objectives of our management for future operations; statements regarding our expectations regarding liquidity; statements regarding the anticipated benefits of our purchased single node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channels; and statements regarding any potential transaction(s) with our controlling stockholder and any of its affiliates. In some cases, you can identify forward-looking statements by terms such as “aim,” “may,” “will,” “should,” “expects,” “plans,” “anticipates,” “continues,” “could,” “intends,” “goals,” “target,” “projects,” “contemplates,” “believes,” “estimates,” “predicts” or “potential” or the negative of these terms or other similar expressions. Such forward-looking statements are based on the beliefs of our management, as well as assumptions made by and information currently available to management. Actual results could differ materially from those contemplated by the forward-looking statements as a result of certain factors. These factors include, but are not limited to, risks relating to the Company’s ability to execute its business strategies and plans for growth; the efficacy of the purchased single node channels; the failure to operationalize the acquired equipment in a timely manner or at all; risks associated with the Company’s ability to finance the transaction contemplated by the Equipment Purchase Agreement; risks relating to any potential transaction(s) with our controlling stockholder and any of its affiliates, the impact on our stock price of such potential transaction(s), our ability to consummate any such transaction, and our ability to achieve the anticipated benefits of any such potential transaction(s); our status as a controlled public company, which exempts us from certain corporate governance requirements; the limited market for our common stock; the impact of general economic, industry, market or political conditions, including tariffs; dependence upon energy industry spending; changes in exploration and production spending by our customers and changes in the level of oil and natural gas exploration and development; the results of operations and financial condition of our customers, particularly during extended periods of low prices for crude oil and natural gas; the volatility of oil and natural gas prices and markets; changes in economic conditions; surplus in the supply of oil and the ability of the Organization of the Petroleum Exporting Countries and its allies, collectively known as OPEC+, to agree on and comply with supply limitations; the potential for contract delays; reductions or cancellations of service contracts; limited number of customers; credit risk related to our customers; reduced utilization; high fixed costs of operations and high capital requirements; industry competition; external factors affecting the Company’s crews such as weather interruptions and inability to obtain land access rights of way; whether the Company enters into turnkey or day rate contracts; crew productivity;  risks that the Company’s cash reserves, liquidity or capital resources may be insufficient;  risks associated with the identification of suitable acquisition candidates and the successful, efficient execution of acquisition transactions, the integration of any such acquisition candidates, the value of those acquisitions to our customers and shareholders, and the financing of such acquisitions; risks related to our indebtedness and compliance with covenants contained in our revolving credit note; the Company’s ability to execute its business strategies and plans for growth; the failure to operationalize the new single node channels in a timely manner or at all; disruptions in the global economy, including the Russian-Ukrainian conflict, the U.S. and Iran conflict, and the unrest in the Middle East, export controls and financial and economic sanctions imposed on certain industry sectors and parties as a result of the developments and broader consequences of the Russian-Ukrainian conflict, the U.S. and Iran conflict, and the unrest in the Middle East related activities, and whether or not a future transaction or other action occurs that causes the Company to be delisted from Nasdaq and no longer be required to make filings with the Securities and Exchange Commission (the “SEC”). The cautionary statements made in this Form 10-Q should be read as applying to all related forward-looking statements wherever they appear in this Form 10-Q. All subsequent written and oral forward-looking statements attributable to us or persons acting on our behalf are expressly qualified in their entirety by this paragraph. A discussion of these and other factors, including risks and uncertainties, is set forth in the Company’s Annual Report on Form 10-K that was filed with the SEC on March 31, 2026 and any subsequent Quarterly Reports on Form 10-Q filed with the SEC. The Company disclaims any intention or obligation to revise any forward-looking statements, whether as a result of new information, future events or otherwise.</w:t>
      </w:r>
    </w:p>
    <w:p>
      <w:pPr>
        <w:pStyle w:val="TextBody"/>
        <w:bidi w:val="0"/>
        <w:spacing w:lineRule="auto" w:line="285" w:before="24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are a leading provider of North American onshore seismic data acquisition services with operations throughout the continental U.S. and Canada. Substantially all of our revenues are derived from the seismic data acquisition services we provide to our clients. Our clients consist of major oil and gas companies, independent oil and gas operators, and providers of multi-client data libraries. In recent years, our primary customer base has consisted of providers of multi-client data libraries. Demand for our services depends upon the level of spending by these companies for exploration, production, development and field management activities, which depends, in a large part, on oil and natural gas prices. Significant fluctuations in domestic oil and natural gas exploration and development activities related to commodity prices, as we have recently experienced, have affected, and will continue to affect, demand for our services and our results of operations, and such fluctuations continue to be the single most important factor affecting our business and results of operations.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had one large channel crew and three smaller channel crews operating in the first quarter in the United States. Our seasonal operations had solid performance in the first quarter, and their operations continued into the second quarter of 2026. High crew utilization in the first quarter resulted in improved margins and profitability. We continue to schedule and bid larger channel count jobs due to our significant inventory of the new single node channels. Additionally, we have seen an increase in activity related to non-traditional seismic exploration including geothermal, Carbon Capture Utilization and Storage (“CCUS”) seismic monitoring, and other rare minerals.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While our revenues are mainly affected by the level of client demand for our services, our revenues are also affected by the pricing for our services that we negotiate with our clients and the productivity and utilization level of our data acquisition crews. Factors impacting productivity and utilization levels include, without limitation: client demand, commodity prices, whether we enter into turnkey or day-rate contracts with our clients, the number and size of crews, the number of recording channels per crew, crew downtime related to inclement weather, delays in acquiring land access permits, agricultural or hunting activity, holiday schedules, short winter days, crew repositioning and equipment failure. Additionally, revenues for our Canadian operations are seasonally limited to the winter season due to rules regarding surface conditions. To the extent we experience these factors, our operating results may be affected and vary from quarter to quarter. Consequently, our efforts to negotiate more favorable contract terms in our supplemental service agreements, mitigate permit access delays and improve overall crew productivity may contribute to growth in our revenues.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Discussions with Controlling Stockholder</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As of March 31, 2026, Wilks Brothers, LLC (“Wilks”) and its affiliates control approximately 80% of our common stock. We have been in discussion with Wilks and certain of its affiliates with respect to one or more transactions involving assets owned by Wilks and/or certain of its affiliates, which may include, among other things, asset contributions or sales, a business combination transaction or other similar transactions. In connection with these discussions, we incurred $695,000 in expenses in the first quarter of 2026, which is included in general and administrative expense in our consolidated statement of operations for the three months ended March 31, 2026.</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There is no guarantee that we will enter into a definitive agreement with any such parties regarding any such transaction. The terms of any potential agreement between us and Wilks, and/or any of its affiliates, would be contingent on certain conditions, including completion of due diligence and the negotiation of definitive transaction documents.  Our Board of Directors has formed a special committee of independent directors (the “Special Committee”), which has retained independent legal and financial advisors, to evaluate, negotiate and make recommendations to the Board regarding any such transaction with Wilks and/or its affiliates, including whether to pursue or decline to pursue any proposed transaction.</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U.S. Fee Revenues</w:t>
      </w:r>
      <w:r>
        <w:rPr>
          <w:rFonts w:ascii="Times New Roman;Times;serif" w:hAnsi="Times New Roman;Times;serif"/>
          <w:sz w:val="20"/>
        </w:rPr>
        <w:t xml:space="preserve">. Fee revenues for the first quarter of 2026 increased 665% to $20.9 million compared to $2.7 million for the same period of 2025. The increase was primarily due to an increase in crew utilization due to the purchase of the single node channels.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Canadian Fee Revenues. </w:t>
      </w:r>
      <w:r>
        <w:rPr>
          <w:rFonts w:ascii="Times New Roman;Times;serif" w:hAnsi="Times New Roman;Times;serif"/>
          <w:sz w:val="20"/>
        </w:rPr>
        <w:t>Fee revenues for the first quarter of 2026 decreased 7% to $11.6 million compared to $12.5 million for the same period of 2025. The decrease was primarily due to a decrease in crew utilization.</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Total Revenues. </w:t>
      </w:r>
      <w:r>
        <w:rPr>
          <w:rFonts w:ascii="Times New Roman;Times;serif" w:hAnsi="Times New Roman;Times;serif"/>
          <w:sz w:val="20"/>
        </w:rPr>
        <w:t>Revenues for the first quarter of 2026 were $36.7 million compared to $16.1 million for the same period of 2025. Total revenues included an increase of $3.4 million in reimbursable revenues.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U.S. Fee Operating Expenses. </w:t>
      </w:r>
      <w:r>
        <w:rPr>
          <w:rFonts w:ascii="Times New Roman;Times;serif" w:hAnsi="Times New Roman;Times;serif"/>
          <w:sz w:val="20"/>
        </w:rPr>
        <w:t>Fee operating expenses for the first quarter of 2026 increased 200% to $13.9 million compared to $4.6 million for the same period of 2025. The increase was primarily due to an overall increase in crew production and utilization during the period.</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Canadian Fee Operating Expenses. </w:t>
      </w:r>
      <w:r>
        <w:rPr>
          <w:rFonts w:ascii="Times New Roman;Times;serif" w:hAnsi="Times New Roman;Times;serif"/>
          <w:sz w:val="20"/>
        </w:rPr>
        <w:t xml:space="preserve">Acquisition expenses for the first quarter of 2026 decreased 12.6% to $5.5 million compared to $6.3 million for the same period of 2025. The decrease was primarily due to an overall decrease in crew production and utilization during the period.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Reimbursable Revenues and Costs. </w:t>
      </w:r>
      <w:r>
        <w:rPr>
          <w:rFonts w:ascii="Times New Roman;Times;serif" w:hAnsi="Times New Roman;Times;serif"/>
          <w:sz w:val="20"/>
        </w:rPr>
        <w:t>These revenues and expenses are passed through to our clients and are job specific and vary significantly from year to year. The costs are agreed to by our clients prior to contracting with outside vendors for the various tasks.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General and administrative expenses increased during the first quarter of 2026 compared to the corresponding quarter in 2025, to $2.9 million from $2 million. The increase was primarily due to strategic transactions expenses during the first quarter of 2026 related to a potential transaction(s) with our largest shareholder, Wilks Brothers, LLC, and/or any of its affiliates, as described above under “Discussions with Controlling Stockholder.”</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Depreciation and Amortization Expense</w:t>
      </w:r>
      <w:r>
        <w:rPr>
          <w:rFonts w:ascii="Times New Roman;Times;serif" w:hAnsi="Times New Roman;Times;serif"/>
          <w:sz w:val="20"/>
        </w:rPr>
        <w:t>. Depreciation and amortization expenses for the first quarter of 2026 and 2025 totaled $2 million and $1.3 million, respectively. Depreciation expenses increased in 2026 compared to 2025 as a result of purchases of new recording equipment during the fourth quarter of 2025 and first quarter of 2026.</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Total Operating Costs.</w:t>
      </w:r>
      <w:r>
        <w:rPr>
          <w:rFonts w:ascii="Times New Roman;Times;serif" w:hAnsi="Times New Roman;Times;serif"/>
          <w:sz w:val="20"/>
        </w:rPr>
        <w:t xml:space="preserve"> Total operating costs for the first quarter of 2026 were $28.6 million, representing a 90% increase from the same period of 2025. The increase in operating costs for the first quarter of 2026 compared to 2025 was primarily due to the factors described above.</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Interest expense. </w:t>
      </w:r>
      <w:r>
        <w:rPr>
          <w:rFonts w:ascii="Times New Roman;Times;serif" w:hAnsi="Times New Roman;Times;serif"/>
          <w:sz w:val="20"/>
        </w:rPr>
        <w:t xml:space="preserve">Interest expense for the first quarter of 2026 and 2025 totaled $0.5 million and $0.1 million, respectively. The increase in interest expenses is primarily due to the additional interest expense on the Geospace Notes.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Income tax benefit for the first quarter of 2026 and 2025 was $10,000 and $3,000, respectively. These amounts represent effective tax rates of 0.1% and 0.3% for the first quarter of 2026 and 2025, respectively. The Company’s nominal effective tax rate for the periods above was due to the presence of net operating loss carryovers and adjustments to the valuation allowance on deferred tax assets.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Our effective tax rates differ from the statutory federal rate of 21% for certain items such as state and local taxes, valuation allowances, and non-deductible expenses. For further information, see Note 10 of the Notes to the Condensed Consolidated Financial Statements.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Use of Adjusted EBITDA (a Non-GAAP measure)</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define Adjusted EBITDA as net income (loss) plus interest expense, interest income, income taxes, depreciation, and amortization expense, and non-recurring and other charges, such as strategic transaction expenses or severance expenses. Our management uses Adjusted EBITDA as a supplemental financial measure to assess: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performance of our assets without regard to financing methods, capital structures, taxes or historical cost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liquidity and operating performance over time in relation to other companies that own similar assets and that we believe calculate Adjusted EBITDA in a similar manner; and</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assets to generate cash sufficient for us to pay potential interest costs.</w:t>
            </w:r>
          </w:p>
        </w:tc>
      </w:tr>
    </w:tbl>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also understand that such data are used by investors to assess our performance. However, the term Adjusted EBITDA is not defined under generally accepted accounting principles (“GAAP”), and Adjusted EBITDA is not a measure of operating income or operating performance presented in accordance with GAAP. When assessing our operating performance, investors and others should not consider this data in isolation or as a substitute for net income (loss), cash flow from operating activities or other cash flow data calculated in accordance with GAAP. In addition, our Adjusted EBITDA may not be comparable to Adjusted EBITDA or similarly titled measures utilized by other companies because other companies may not calculate Adjusted EBITDA in the same manner as us. Further, the results presented by Adjusted EBITDA cannot be achieved without incurring the costs that the measure excludes, such as interest, taxes, and depreciation and amortization.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reconciliation of our Adjusted EBITDA to our net cash (used in) provided by operating activities and net (loss) income, which are the most directly comparable GAAP financial measures, are provided in the following tables (in thousands):</w:t>
      </w:r>
    </w:p>
    <w:tbl>
      <w:tblPr>
        <w:tblW w:w="8153" w:type="dxa"/>
        <w:jc w:val="left"/>
        <w:tblInd w:w="0" w:type="dxa"/>
        <w:tblLayout w:type="fixed"/>
        <w:tblCellMar>
          <w:top w:w="0" w:type="dxa"/>
          <w:left w:w="0" w:type="dxa"/>
          <w:bottom w:w="0" w:type="dxa"/>
          <w:right w:w="0" w:type="dxa"/>
        </w:tblCellMar>
      </w:tblPr>
      <w:tblGrid>
        <w:gridCol w:w="2236"/>
        <w:gridCol w:w="208"/>
        <w:gridCol w:w="542"/>
        <w:gridCol w:w="109"/>
        <w:gridCol w:w="216"/>
        <w:gridCol w:w="564"/>
        <w:gridCol w:w="109"/>
        <w:gridCol w:w="269"/>
        <w:gridCol w:w="826"/>
        <w:gridCol w:w="109"/>
        <w:gridCol w:w="196"/>
        <w:gridCol w:w="631"/>
        <w:gridCol w:w="109"/>
        <w:gridCol w:w="216"/>
        <w:gridCol w:w="564"/>
        <w:gridCol w:w="109"/>
        <w:gridCol w:w="275"/>
        <w:gridCol w:w="865"/>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419860" cy="175260"/>
                      <wp:effectExtent l="0" t="0" r="0" b="0"/>
                      <wp:wrapNone/>
                      <wp:docPr id="195" name="Frame195"/>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44170" cy="175260"/>
                      <wp:effectExtent l="0" t="0" r="0" b="0"/>
                      <wp:wrapNone/>
                      <wp:docPr id="196" name="Frame196"/>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58140" cy="175260"/>
                      <wp:effectExtent l="0" t="0" r="0" b="0"/>
                      <wp:wrapNone/>
                      <wp:docPr id="198" name="Frame198"/>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24510" cy="175260"/>
                      <wp:effectExtent l="0" t="0" r="0" b="0"/>
                      <wp:wrapNone/>
                      <wp:docPr id="200" name="Frame20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00685" cy="175260"/>
                      <wp:effectExtent l="0" t="0" r="0" b="0"/>
                      <wp:wrapNone/>
                      <wp:docPr id="202" name="Frame20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58140" cy="175260"/>
                      <wp:effectExtent l="0" t="0" r="0" b="0"/>
                      <wp:wrapNone/>
                      <wp:docPr id="204" name="Frame204"/>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49275" cy="175260"/>
                      <wp:effectExtent l="0" t="0" r="0" b="0"/>
                      <wp:wrapNone/>
                      <wp:docPr id="206" name="Frame206"/>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5917"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2,276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5,538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1,766</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1,077</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194</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1,271</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pPr>
            <w:r>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2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10,160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pPr>
            <w:r>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2,338</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2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2,338</w:t>
            </w:r>
          </w:p>
        </w:tc>
      </w:tr>
    </w:tbl>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tbl>
      <w:tblPr>
        <w:tblW w:w="9640" w:type="dxa"/>
        <w:jc w:val="left"/>
        <w:tblInd w:w="0" w:type="dxa"/>
        <w:tblLayout w:type="fixed"/>
        <w:tblCellMar>
          <w:top w:w="0" w:type="dxa"/>
          <w:left w:w="0" w:type="dxa"/>
          <w:bottom w:w="0" w:type="dxa"/>
          <w:right w:w="0" w:type="dxa"/>
        </w:tblCellMar>
      </w:tblPr>
      <w:tblGrid>
        <w:gridCol w:w="3676"/>
        <w:gridCol w:w="208"/>
        <w:gridCol w:w="542"/>
        <w:gridCol w:w="109"/>
        <w:gridCol w:w="196"/>
        <w:gridCol w:w="631"/>
        <w:gridCol w:w="109"/>
        <w:gridCol w:w="269"/>
        <w:gridCol w:w="826"/>
        <w:gridCol w:w="109"/>
        <w:gridCol w:w="196"/>
        <w:gridCol w:w="631"/>
        <w:gridCol w:w="109"/>
        <w:gridCol w:w="216"/>
        <w:gridCol w:w="564"/>
        <w:gridCol w:w="109"/>
        <w:gridCol w:w="275"/>
        <w:gridCol w:w="865"/>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334260" cy="175260"/>
                      <wp:effectExtent l="0" t="0" r="0" b="0"/>
                      <wp:wrapNone/>
                      <wp:docPr id="207" name="Frame207"/>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44170" cy="175260"/>
                      <wp:effectExtent l="0" t="0" r="0" b="0"/>
                      <wp:wrapNone/>
                      <wp:docPr id="208" name="Frame208"/>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00685" cy="175260"/>
                      <wp:effectExtent l="0" t="0" r="0" b="0"/>
                      <wp:wrapNone/>
                      <wp:docPr id="210" name="Frame21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24510" cy="175260"/>
                      <wp:effectExtent l="0" t="0" r="0" b="0"/>
                      <wp:wrapNone/>
                      <wp:docPr id="212" name="Frame21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00685" cy="175260"/>
                      <wp:effectExtent l="0" t="0" r="0" b="0"/>
                      <wp:wrapNone/>
                      <wp:docPr id="214" name="Frame21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58140" cy="175260"/>
                      <wp:effectExtent l="0" t="0" r="0" b="0"/>
                      <wp:wrapNone/>
                      <wp:docPr id="216" name="Frame216"/>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49275" cy="175260"/>
                      <wp:effectExtent l="0" t="0" r="0" b="0"/>
                      <wp:wrapNone/>
                      <wp:docPr id="218" name="Frame218"/>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5964"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operating activities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1,899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(2,364)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1,544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1,752</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2,809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8,054</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10,863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(4,530)</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5,587</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1,057</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Non-cash adjustments to net income (loss)</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(471)</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4,530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center"/>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10,160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center"/>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5,741</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vAlign w:val="center"/>
          </w:tcPr>
          <w:p>
            <w:pPr>
              <w:pStyle w:val="TableContents"/>
              <w:bidi w:val="0"/>
              <w:spacing w:lineRule="auto" w:line="285" w:before="0" w:after="0"/>
              <w:ind w:left="0" w:right="0" w:hanging="0"/>
              <w:jc w:val="center"/>
              <w:rPr/>
            </w:pPr>
            <w:r>
              <w:rPr/>
              <w:t>​</w:t>
            </w:r>
          </w:p>
        </w:tc>
        <w:tc>
          <w:tcPr>
            <w:tcW w:w="86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2,338</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5,225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10,855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5,741</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5"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2,338</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Our principal sources of cash are amounts earned from the seismic data acquisition services we provide to our clients. Our principal uses of cash are the amounts used to provide these services, including expenses related to our operations and acquiring new equipment. Accordingly, our cash position depends (as do our revenues) on the level of demand for our services. Management believes cash flow from operations, cash on hand and amounts available under our Revolving Credit Note (defined below) are sufficient to fund operating and investing cash flow requirements, as well as our obligations under the Geospace Notes.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Cash Flows</w:t>
      </w:r>
      <w:r>
        <w:rPr>
          <w:rFonts w:ascii="Times New Roman;Times;serif" w:hAnsi="Times New Roman;Times;serif"/>
          <w:sz w:val="20"/>
        </w:rPr>
        <w:t>. Net cash used in operating activities was $0.5 million for the three months ended March 31, 2026, compared to net cash provided by operating activities of $1.8 million for the same period of 2025. This decrease was primarily due to an increase in accounts receivable offset by an increase in net income.</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Net cash used in investing activities was $1.3 million for the three months ended March 31, 2026. Net cash provided by investing activities was $185,000 for the three months ended March 31, 2025. The increase in cash used in investing activities between periods of $1.5 million was primarily due to an increase in cash capital expenditure to $1.4 million for the first three months of 2026 compared to capital expenditures of $0 for the same period of 2025.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Net cash used in financing activities was $1.7 million for the three months ended March 31, 2026, and was primarily comprised of principal payments of $1.4 million and $0.3 million under our notes payable and finance leases, respectively. Net cash used in financing activities was $0.6 million for the three months ended March 31, 2025, and was primarily comprised of principal payments of $0.4 million and $0.2 million under our notes payable and finance leases, respectively.</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For the three months ended March 31, 2026, we have spent $1.4 million in cash on capital expenditures, primarily for new node channels and rolling stock and maintenance capital requirements. Historically, we have funded most of our capital expenditures through cash flow from operations, cash reserves, equipment term loans and finance leases. Under the Purchase Agreement, we are partially funding our purchase of new single node channels utilizing vendor financing in the form of the Geospace Notes.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Capital Resources</w:t>
      </w:r>
      <w:r>
        <w:rPr>
          <w:rFonts w:ascii="Times New Roman;Times;serif" w:hAnsi="Times New Roman;Times;serif"/>
          <w:sz w:val="20"/>
        </w:rPr>
        <w:t>. Historically, we have primarily relied on cash flows from operations, cash reserves and borrowings from commercial banks to fund our capital requirements. In connection with the Equipment Purchase Agreement, we issued the Geospace Notes.</w:t>
      </w:r>
    </w:p>
    <w:p>
      <w:pPr>
        <w:pStyle w:val="TextBody"/>
        <w:bidi w:val="0"/>
        <w:spacing w:lineRule="auto" w:line="285" w:before="240" w:after="240"/>
        <w:ind w:left="0" w:right="0" w:hanging="0"/>
        <w:jc w:val="both"/>
        <w:rPr>
          <w:rFonts w:ascii="Times New Roman;Times;serif" w:hAnsi="Times New Roman;Times;serif"/>
          <w:b/>
          <w:sz w:val="20"/>
        </w:rPr>
      </w:pPr>
      <w:r>
        <w:rPr>
          <w:rFonts w:ascii="Times New Roman;Times;serif" w:hAnsi="Times New Roman;Times;serif"/>
          <w:b/>
          <w:sz w:val="20"/>
        </w:rPr>
        <w:t xml:space="preserve">Revolving Credit Note </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On October 31, 2025, Dawson Geophysical Company and Dawson Operating, as borrowers (the “Borrowers”), entered into a Revolving Credit Note (the “Revolving Credit Note”) in favor of Equify Financial, as lender (the “Lender”), a related party affiliated through common control. </w:t>
      </w:r>
    </w:p>
    <w:p>
      <w:pPr>
        <w:pStyle w:val="TextBody"/>
        <w:bidi w:val="0"/>
        <w:spacing w:lineRule="auto" w:line="285" w:before="240" w:after="240"/>
        <w:ind w:left="0" w:right="0" w:firstLine="720"/>
        <w:jc w:val="both"/>
        <w:rPr>
          <w:rFonts w:ascii="Times New Roman;Times;serif" w:hAnsi="Times New Roman;Times;serif"/>
          <w:sz w:val="20"/>
        </w:rPr>
      </w:pPr>
      <w:r>
        <w:rPr>
          <w:rFonts w:ascii="Times New Roman;Times;serif" w:hAnsi="Times New Roman;Times;serif"/>
          <w:sz w:val="20"/>
        </w:rPr>
        <w:t>Pursuant to the Revolving Credit Note, the Borrowers, jointly and severally, may, from time to time until November 20, 2028, request loans from the Lender for up to an aggregate principal amount of $5,035,032. The loans outstanding under the Revolving Credit Note are payable by the Borrowers in thirty-six (36) monthly installments of principal in the amount of $139,862, together with all accrued and unpaid interest on the outstanding principal balance thereunder, commencing on December 20, 2025, and continuing thereafter until the maturity date. The interest rate applicable to loans outstanding under the Revolving Credit Note is a rate per annum equal to 13%.</w:t>
      </w:r>
    </w:p>
    <w:p>
      <w:pPr>
        <w:pStyle w:val="TextBody"/>
        <w:bidi w:val="0"/>
        <w:spacing w:lineRule="auto" w:line="285" w:before="240" w:after="240"/>
        <w:ind w:left="0" w:right="0" w:firstLine="720"/>
        <w:jc w:val="both"/>
        <w:rPr>
          <w:rFonts w:ascii="Times New Roman;Times;serif" w:hAnsi="Times New Roman;Times;serif"/>
          <w:sz w:val="20"/>
        </w:rPr>
      </w:pPr>
      <w:r>
        <w:rPr>
          <w:rFonts w:ascii="Times New Roman;Times;serif" w:hAnsi="Times New Roman;Times;serif"/>
          <w:sz w:val="20"/>
        </w:rPr>
        <w:t>The maximum borrowing limit under the Revolving Credit Note is initially $5,035,032, and such amount is reduced by $139,862 on each monthly payment date. During the three months ended March 31, 2026, the Company borrowed and repaid approximately $4.3 million on this revolving credit note. As of March 31, 2026 the amount available to draw on this revolving credit note was approximately $4.5 million, and there were no amounts outstanding. The Borrowers may prepay up to 75% of the then outstanding principal and accrued but unpaid interest at any time without a prepayment fee.</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The obligations under the Revolving Credit Note are secured by a lien on our vibrator energy source vehicles, pursuant to a Security Agreement by and between us and Lender, dated as of October 31, 2025.</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All outstanding amounts owed under the Revolving Credit Note become due and payable no later than the maturity date of November 20, 2028, and are subject to acceleration upon the occurrence of events of default which we consider usual and customary for an agreement of this type, including failure to make payments under the Revolving Credit Note, non-performance of covenants and obligations or insolvency or bankruptcy (as defined in the Revolving Credit Note).</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Other Indebtedness</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The Company paid cash of approximately $4.8 million upon execution of the Equipment Purchase Agreement, agreed to pay approximately $1.2 million in cash upon final delivery, and agreed to finance approximately $18.2 million through separate promissory notes to be issued in connection with each delivery of equipment (each, a “Geospace Note” and collectively, the “Geospace Notes”). Each Geospace Note is payable by Dawson Geophysical Company and Dawson Operating, jointly and severally, to GTC. The Geospace Notes will each have a term of 36 months, bear a fixed interest rate of 8.75% annually and may be prepaid in whole or in part at any time without penalty. As of March 31, 2026, the Company has taken delivery of all contracted equipment and issued six Geospace Notes with an aggregate principal of approximately $18.2 million, with $16.1 million outstanding at March 31, 2026.</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As of March 31, 2026, we have three outstanding short-term notes payable to finance companies for various insurance premiums totaling $260,000. As of December 31, 2025, we had one outstanding short-term note payable to a finance company for various insurance premiums totaling $258,000.</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In addition, we lease certain seismic recording equipment and vehicles under leases classified as finance leases. Our Condensed Consolidated Balance Sheet as of March 31, 2026 and December 31, 2025, include finance leases of $2.6 million and $2.6 million, respectively.</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Maturities and Interest Rates of Debt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tables set forth the aggregate principal amount (in thousands) under our outstanding notes payable and the interest rates as of March 31, 2026, and December 31, 2025:</w:t>
      </w:r>
    </w:p>
    <w:tbl>
      <w:tblPr>
        <w:tblW w:w="6995" w:type="dxa"/>
        <w:jc w:val="left"/>
        <w:tblInd w:w="0" w:type="dxa"/>
        <w:tblLayout w:type="fixed"/>
        <w:tblCellMar>
          <w:top w:w="0" w:type="dxa"/>
          <w:left w:w="0" w:type="dxa"/>
          <w:bottom w:w="0" w:type="dxa"/>
          <w:right w:w="0" w:type="dxa"/>
        </w:tblCellMar>
      </w:tblPr>
      <w:tblGrid>
        <w:gridCol w:w="3421"/>
        <w:gridCol w:w="346"/>
        <w:gridCol w:w="307"/>
        <w:gridCol w:w="984"/>
        <w:gridCol w:w="346"/>
        <w:gridCol w:w="360"/>
        <w:gridCol w:w="12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72335" cy="175260"/>
                      <wp:effectExtent l="0" t="0" r="0" b="0"/>
                      <wp:wrapNone/>
                      <wp:docPr id="219" name="Frame219"/>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94945" cy="175260"/>
                      <wp:effectExtent l="0" t="0" r="0" b="0"/>
                      <wp:wrapNone/>
                      <wp:docPr id="221" name="Frame221"/>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24840" cy="175260"/>
                      <wp:effectExtent l="0" t="0" r="0" b="0"/>
                      <wp:wrapNone/>
                      <wp:docPr id="222" name="Frame222"/>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8600" cy="175260"/>
                      <wp:effectExtent l="0" t="0" r="0" b="0"/>
                      <wp:wrapNone/>
                      <wp:docPr id="224" name="Frame2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781685" cy="175260"/>
                      <wp:effectExtent l="0" t="0" r="0" b="0"/>
                      <wp:wrapNone/>
                      <wp:docPr id="225" name="Frame22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March 31, 2026</w:t>
            </w:r>
          </w:p>
        </w:tc>
        <w:tc>
          <w:tcPr>
            <w:tcW w:w="346" w:type="dxa"/>
            <w:tcBorders/>
            <w:vAlign w:val="center"/>
          </w:tcPr>
          <w:p>
            <w:pPr>
              <w:pStyle w:val="TableContents"/>
              <w:bidi w:val="0"/>
              <w:spacing w:lineRule="auto" w:line="285"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Geospace Notes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shd w:fill="CCEEFF" w:val="clear"/>
            <w:vAlign w:val="center"/>
          </w:tcPr>
          <w:p>
            <w:pPr>
              <w:pStyle w:val="TableContents"/>
              <w:bidi w:val="0"/>
              <w:spacing w:lineRule="auto" w:line="285" w:before="0" w:after="0"/>
              <w:ind w:left="0" w:right="0" w:hanging="0"/>
              <w:jc w:val="left"/>
              <w:rPr/>
            </w:pPr>
            <w:r>
              <w:rPr/>
              <w:t>​</w:t>
            </w:r>
          </w:p>
        </w:tc>
        <w:tc>
          <w:tcPr>
            <w:tcW w:w="984" w:type="dxa"/>
            <w:tcBorders/>
            <w:shd w:fill="CCEEFF" w:val="clear"/>
            <w:vAlign w:val="center"/>
          </w:tcPr>
          <w:p>
            <w:pPr>
              <w:pStyle w:val="TableContents"/>
              <w:bidi w:val="0"/>
              <w:spacing w:lineRule="auto" w:line="285" w:before="0" w:after="0"/>
              <w:ind w:left="0" w:right="0" w:hanging="0"/>
              <w:jc w:val="left"/>
              <w:rPr/>
            </w:pPr>
            <w:r>
              <w:rPr/>
              <w:t>  ​ ​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pPr>
            <w:r>
              <w:rPr/>
              <w:t>​</w:t>
            </w:r>
          </w:p>
        </w:tc>
        <w:tc>
          <w:tcPr>
            <w:tcW w:w="1231" w:type="dxa"/>
            <w:tcBorders/>
            <w:shd w:fill="CCEEFF" w:val="clear"/>
            <w:vAlign w:val="center"/>
          </w:tcPr>
          <w:p>
            <w:pPr>
              <w:pStyle w:val="TableContents"/>
              <w:bidi w:val="0"/>
              <w:spacing w:lineRule="auto" w:line="285" w:before="0" w:after="0"/>
              <w:ind w:left="0" w:right="0" w:hanging="0"/>
              <w:jc w:val="left"/>
              <w:rPr/>
            </w:pPr>
            <w:r>
              <w:rPr/>
              <w:t>  ​ ​ ​</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Aggregate principal amount outstanding</w:t>
            </w:r>
          </w:p>
        </w:tc>
        <w:tc>
          <w:tcPr>
            <w:tcW w:w="346" w:type="dxa"/>
            <w:tcBorders/>
            <w:vAlign w:val="center"/>
          </w:tcPr>
          <w:p>
            <w:pPr>
              <w:pStyle w:val="TableContents"/>
              <w:bidi w:val="0"/>
              <w:spacing w:lineRule="auto" w:line="285" w:before="0" w:after="0"/>
              <w:ind w:left="0" w:right="0" w:hanging="0"/>
              <w:jc w:val="left"/>
              <w:rPr/>
            </w:pPr>
            <w:r>
              <w:rPr/>
              <w:t>​</w:t>
            </w:r>
          </w:p>
        </w:tc>
        <w:tc>
          <w:tcPr>
            <w:tcW w:w="30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16,142</w:t>
            </w:r>
          </w:p>
        </w:tc>
        <w:tc>
          <w:tcPr>
            <w:tcW w:w="346"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14,731</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rate of 8.75%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shd w:fill="CCEEFF" w:val="clear"/>
            <w:vAlign w:val="center"/>
          </w:tcPr>
          <w:p>
            <w:pPr>
              <w:pStyle w:val="TableContents"/>
              <w:bidi w:val="0"/>
              <w:spacing w:lineRule="auto" w:line="285" w:before="0" w:after="0"/>
              <w:ind w:left="0" w:right="0" w:hanging="0"/>
              <w:jc w:val="left"/>
              <w:rPr/>
            </w:pPr>
            <w:r>
              <w:rPr/>
              <w:t>​</w:t>
            </w:r>
          </w:p>
        </w:tc>
        <w:tc>
          <w:tcPr>
            <w:tcW w:w="984"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pPr>
            <w:r>
              <w:rPr/>
              <w:t>​</w:t>
            </w:r>
          </w:p>
        </w:tc>
        <w:tc>
          <w:tcPr>
            <w:tcW w:w="123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firstLine="490"/>
        <w:jc w:val="both"/>
        <w:rPr/>
      </w:pPr>
      <w:r>
        <w:rPr/>
        <w:t>​</w:t>
      </w:r>
    </w:p>
    <w:tbl>
      <w:tblPr>
        <w:tblW w:w="7358" w:type="dxa"/>
        <w:jc w:val="left"/>
        <w:tblInd w:w="0" w:type="dxa"/>
        <w:tblLayout w:type="fixed"/>
        <w:tblCellMar>
          <w:top w:w="0" w:type="dxa"/>
          <w:left w:w="0" w:type="dxa"/>
          <w:bottom w:w="0" w:type="dxa"/>
          <w:right w:w="0" w:type="dxa"/>
        </w:tblCellMar>
      </w:tblPr>
      <w:tblGrid>
        <w:gridCol w:w="4021"/>
        <w:gridCol w:w="346"/>
        <w:gridCol w:w="431"/>
        <w:gridCol w:w="860"/>
        <w:gridCol w:w="109"/>
        <w:gridCol w:w="495"/>
        <w:gridCol w:w="109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553335" cy="175260"/>
                      <wp:effectExtent l="0" t="0" r="0" b="0"/>
                      <wp:wrapNone/>
                      <wp:docPr id="226" name="Frame226"/>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73685" cy="175260"/>
                      <wp:effectExtent l="0" t="0" r="0" b="0"/>
                      <wp:wrapNone/>
                      <wp:docPr id="228" name="Frame228"/>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46100" cy="175260"/>
                      <wp:effectExtent l="0" t="0" r="0" b="0"/>
                      <wp:wrapNone/>
                      <wp:docPr id="229" name="Frame229"/>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14325" cy="175260"/>
                      <wp:effectExtent l="0" t="0" r="0" b="0"/>
                      <wp:wrapNone/>
                      <wp:docPr id="231" name="Frame231"/>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5960" cy="175260"/>
                      <wp:effectExtent l="0" t="0" r="0" b="0"/>
                      <wp:wrapNone/>
                      <wp:docPr id="232" name="Frame23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March 31, 2026</w:t>
            </w:r>
          </w:p>
        </w:tc>
        <w:tc>
          <w:tcPr>
            <w:tcW w:w="109" w:type="dxa"/>
            <w:tcBorders/>
            <w:vAlign w:val="center"/>
          </w:tcPr>
          <w:p>
            <w:pPr>
              <w:pStyle w:val="TableContents"/>
              <w:bidi w:val="0"/>
              <w:spacing w:lineRule="auto" w:line="285"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Notes payable to finance company for insurance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left"/>
              <w:rPr/>
            </w:pPr>
            <w:r>
              <w:rPr/>
              <w:t>​</w:t>
            </w:r>
          </w:p>
        </w:tc>
        <w:tc>
          <w:tcPr>
            <w:tcW w:w="860"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95" w:type="dxa"/>
            <w:tcBorders/>
            <w:shd w:fill="CCEEFF" w:val="clear"/>
            <w:vAlign w:val="center"/>
          </w:tcPr>
          <w:p>
            <w:pPr>
              <w:pStyle w:val="TableContents"/>
              <w:bidi w:val="0"/>
              <w:spacing w:lineRule="auto" w:line="285" w:before="0" w:after="0"/>
              <w:ind w:left="0" w:right="0" w:hanging="0"/>
              <w:jc w:val="left"/>
              <w:rPr/>
            </w:pPr>
            <w:r>
              <w:rPr/>
              <w:t>​</w:t>
            </w:r>
          </w:p>
        </w:tc>
        <w:tc>
          <w:tcPr>
            <w:tcW w:w="1096" w:type="dxa"/>
            <w:tcBorders/>
            <w:shd w:fill="CCEEFF" w:val="clear"/>
            <w:vAlign w:val="center"/>
          </w:tcPr>
          <w:p>
            <w:pPr>
              <w:pStyle w:val="TableContents"/>
              <w:bidi w:val="0"/>
              <w:spacing w:lineRule="auto" w:line="285" w:before="0" w:after="0"/>
              <w:ind w:left="0" w:right="0" w:hanging="0"/>
              <w:jc w:val="right"/>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Aggregate principal amount outstanding</w:t>
            </w:r>
          </w:p>
        </w:tc>
        <w:tc>
          <w:tcPr>
            <w:tcW w:w="346" w:type="dxa"/>
            <w:tcBorders/>
            <w:vAlign w:val="center"/>
          </w:tcPr>
          <w:p>
            <w:pPr>
              <w:pStyle w:val="TableContents"/>
              <w:bidi w:val="0"/>
              <w:spacing w:lineRule="auto" w:line="285" w:before="0" w:after="0"/>
              <w:ind w:left="0" w:right="0" w:hanging="0"/>
              <w:jc w:val="left"/>
              <w:rPr/>
            </w:pPr>
            <w:r>
              <w:rPr/>
              <w:t>​</w:t>
            </w:r>
          </w:p>
        </w:tc>
        <w:tc>
          <w:tcPr>
            <w:tcW w:w="4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vAlign w:val="center"/>
          </w:tcPr>
          <w:p>
            <w:pPr>
              <w:pStyle w:val="TableContents"/>
              <w:bidi w:val="0"/>
              <w:spacing w:lineRule="auto" w:line="285" w:before="0" w:after="0"/>
              <w:ind w:left="0" w:right="0" w:hanging="0"/>
              <w:jc w:val="left"/>
              <w:rPr/>
            </w:pPr>
            <w:r>
              <w:rPr/>
              <w:t>​</w:t>
            </w:r>
          </w:p>
        </w:tc>
        <w:tc>
          <w:tcPr>
            <w:tcW w:w="49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rates range from 6.60% to 7.49%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left"/>
              <w:rPr/>
            </w:pPr>
            <w:r>
              <w:rPr/>
              <w:t>​</w:t>
            </w:r>
          </w:p>
        </w:tc>
        <w:tc>
          <w:tcPr>
            <w:tcW w:w="860"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95" w:type="dxa"/>
            <w:tcBorders/>
            <w:shd w:fill="CCEEFF" w:val="clear"/>
            <w:vAlign w:val="center"/>
          </w:tcPr>
          <w:p>
            <w:pPr>
              <w:pStyle w:val="TableContents"/>
              <w:bidi w:val="0"/>
              <w:spacing w:lineRule="auto" w:line="285" w:before="0" w:after="0"/>
              <w:ind w:left="0" w:right="0" w:hanging="0"/>
              <w:jc w:val="left"/>
              <w:rPr/>
            </w:pPr>
            <w:r>
              <w:rPr/>
              <w:t>​</w:t>
            </w:r>
          </w:p>
        </w:tc>
        <w:tc>
          <w:tcPr>
            <w:tcW w:w="1096"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aggregate maturities of notes payable as of March 31, 2026, are as follows (in thousands):</w:t>
      </w:r>
    </w:p>
    <w:tbl>
      <w:tblPr>
        <w:tblW w:w="4129" w:type="dxa"/>
        <w:jc w:val="left"/>
        <w:tblInd w:w="0" w:type="dxa"/>
        <w:tblLayout w:type="fixed"/>
        <w:tblCellMar>
          <w:top w:w="0" w:type="dxa"/>
          <w:left w:w="0" w:type="dxa"/>
          <w:bottom w:w="0" w:type="dxa"/>
          <w:right w:w="0" w:type="dxa"/>
        </w:tblCellMar>
      </w:tblPr>
      <w:tblGrid>
        <w:gridCol w:w="2761"/>
        <w:gridCol w:w="109"/>
        <w:gridCol w:w="211"/>
        <w:gridCol w:w="676"/>
        <w:gridCol w:w="109"/>
        <w:gridCol w:w="109"/>
        <w:gridCol w:w="154"/>
      </w:tblGrid>
      <w:tr>
        <w:trPr/>
        <w:tc>
          <w:tcPr>
            <w:tcW w:w="27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29260" cy="175260"/>
                      <wp:effectExtent l="0" t="0" r="0" b="0"/>
                      <wp:wrapNone/>
                      <wp:docPr id="235" name="Frame2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97790" cy="175260"/>
                      <wp:effectExtent l="0" t="0" r="0" b="0"/>
                      <wp:wrapNone/>
                      <wp:docPr id="238" name="Frame23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2026 - March 2027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2027 - March 2028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6,244</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2028 - March 2029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4,077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Obligations under notes payable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16,402</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240" w:after="240"/>
        <w:ind w:left="0" w:right="0" w:firstLine="490"/>
        <w:jc w:val="both"/>
        <w:rPr>
          <w:rFonts w:ascii="Times New Roman;Times;serif" w:hAnsi="Times New Roman;Times;serif"/>
          <w:sz w:val="20"/>
        </w:rPr>
      </w:pPr>
      <w:r>
        <w:rPr>
          <w:rFonts w:ascii="Times New Roman;Times;serif" w:hAnsi="Times New Roman;Times;serif"/>
          <w:sz w:val="20"/>
        </w:rPr>
        <w:t>The aggregate maturities of finance leases (net of imputed interest) as of March 31, 2026, are as follows (in thousands):</w:t>
      </w:r>
    </w:p>
    <w:tbl>
      <w:tblPr>
        <w:tblW w:w="4024" w:type="dxa"/>
        <w:jc w:val="left"/>
        <w:tblInd w:w="0" w:type="dxa"/>
        <w:tblLayout w:type="fixed"/>
        <w:tblCellMar>
          <w:top w:w="0" w:type="dxa"/>
          <w:left w:w="0" w:type="dxa"/>
          <w:bottom w:w="0" w:type="dxa"/>
          <w:right w:w="0" w:type="dxa"/>
        </w:tblCellMar>
      </w:tblPr>
      <w:tblGrid>
        <w:gridCol w:w="2761"/>
        <w:gridCol w:w="109"/>
        <w:gridCol w:w="211"/>
        <w:gridCol w:w="571"/>
        <w:gridCol w:w="109"/>
        <w:gridCol w:w="109"/>
        <w:gridCol w:w="154"/>
      </w:tblGrid>
      <w:tr>
        <w:trPr/>
        <w:tc>
          <w:tcPr>
            <w:tcW w:w="27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62585" cy="175260"/>
                      <wp:effectExtent l="0" t="0" r="0" b="0"/>
                      <wp:wrapNone/>
                      <wp:docPr id="241" name="Frame2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97790" cy="175260"/>
                      <wp:effectExtent l="0" t="0" r="0" b="0"/>
                      <wp:wrapNone/>
                      <wp:docPr id="244" name="Frame24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2026 - March 2027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2027 - March 2028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2028 - March 2029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2029 - March 2030</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2030 - March 2031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Obligations under finance leases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2,643</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Interest rates on these leases range from 4.86% to 13.33%.</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b/>
          <w:sz w:val="20"/>
        </w:rPr>
        <w:t>Contractual</w:t>
      </w:r>
      <w:r>
        <w:rPr>
          <w:rFonts w:ascii="Times New Roman;Times;serif" w:hAnsi="Times New Roman;Times;serif"/>
          <w:sz w:val="20"/>
        </w:rPr>
        <w:t xml:space="preserve"> </w:t>
      </w:r>
      <w:r>
        <w:rPr>
          <w:rFonts w:ascii="Times New Roman;Times;serif" w:hAnsi="Times New Roman;Times;serif"/>
          <w:b/>
          <w:sz w:val="20"/>
        </w:rPr>
        <w:t>Obligations</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believe that our capital resources, including our cash on hand, short-term investments, funds available from our Revolving Credit Note and cash flow from operations will be adequate to meet our current operational needs, including any continued strategic transaction expenses. We believe that we will be able to finance our 2026 capital expenditures through cash flow from operations, borrowings from commercial lenders and the Geospace Notes. However, our ability to satisfy working capital requirements, meet debt repayment obligations,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and fund future capital requirements will depend principally upon our future operating performance, which is subject to the risks inherent in our business, and will also depend on the extent to which the current economic climate adversely affects the ability of our customers, and/or potential customers, to promptly pay amounts owing to us under their service contracts with us.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Information regarding our critical accounting policies and estimates is included in Item 7 “Management’s Discussion and Analysis of Financial Condition and Results of Operations” in our Annual Report on Form 10-K for the year ended December 31, 2025. </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xml:space="preserve"> ASU 2024-03 enhances the disclosures required for certain expense captions in the Company's annual and interim consolidated financial statements. This ASU is effective prospectively or retrospectively for fiscal years beginning after December 15, 2026, and for interim reporting periods beginning after December 15, 2027. Early adoption is permitted. We are currently evaluating the impact of this standard on its disclosures.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Credit Losses (Topic 326): Measurement of Credit Losses for Accounts Receivable and Contract Assets</w:t>
      </w:r>
      <w:r>
        <w:rPr>
          <w:rFonts w:ascii="Times New Roman;Times;serif" w:hAnsi="Times New Roman;Times;serif"/>
          <w:sz w:val="20"/>
        </w:rPr>
        <w:t>. This ASU introduces a practical expedient to simplify the application of Topic 326, Financial Instruments - Credit Losses, to current accounts receivable and current contract assets arising from revenue transactions accounted for under Topic 606, Revenue from Contracts with Customers. This ASU was implemented January 1, 2026, and did not have a material impact on our disclosures.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This ASU intends to improve the guidance for interim reporting and clarify when that guidance is applicable.  ASU 2025-11 provides a comprehensive list of required disclosures and also requires entities to disclose events since the last annual reporting period that have a material impact on the entity. ASU 2025-11 is effective for interim reporting periods within annual reporting periods beginning after December 15, 2027. Early adoption is permitted. The Company is currently evaluating the impact of ASU 2025-11 on its financial statements and related disclosures.</w:t>
      </w:r>
    </w:p>
    <w:p>
      <w:pPr>
        <w:pStyle w:val="TextBody"/>
        <w:bidi w:val="0"/>
        <w:spacing w:lineRule="auto" w:line="285" w:before="0" w:after="240"/>
        <w:ind w:left="0" w:right="0" w:hanging="0"/>
        <w:jc w:val="both"/>
        <w:rPr>
          <w:rFonts w:ascii="Times New Roman;Times;serif" w:hAnsi="Times New Roman;Times;serif"/>
          <w:b/>
          <w:sz w:val="20"/>
        </w:rPr>
      </w:pPr>
      <w:bookmarkStart w:id="863" w:name="ITEM3QUANTITATIVEANDQUALITATIVE_777615"/>
      <w:bookmarkStart w:id="864" w:name="_207b3ced_46df_48a4_b10e_6d1b943796e7"/>
      <w:bookmarkEnd w:id="863"/>
      <w:bookmarkEnd w:id="864"/>
      <w:r>
        <w:rPr>
          <w:rFonts w:ascii="Times New Roman;Times;serif" w:hAnsi="Times New Roman;Times;serif"/>
          <w:b/>
          <w:sz w:val="20"/>
        </w:rPr>
        <w:t>ITEM 3. QUANTITATIVE AND QUALITATIVE DISCLOSURES ABOUT MARKET RISK</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There has been no material change in our market risk profile during the three months ended March 31, 2026. For additional information about our market risk profile, refer to "Quantitative and Qualitative Disclosures About Market Risk" in Item 7A. in Part II of our Annual Report on Form 10-K for the year ended December 31, 2025.</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are exposed to certain market risks arising from the use of financial instruments in the ordinary course of business. These risks arise primarily as a result of potential changes to operating concentration of credit risk and changes in interest rates. We have not entered into any hedge arrangements, commodity swap agreements, commodity futures, options or other derivative financial instruments. We also conduct business in Canada, which subjects our results of operations and cash flows to foreign currency exchange rate risk.</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sz w:val="20"/>
        </w:rPr>
      </w:pPr>
      <w:bookmarkStart w:id="865" w:name="ITEM4CONTROLSANDPROCEDURES_180441"/>
      <w:bookmarkStart w:id="866" w:name="_9a382912_055b_4d86_bdde_2a81e02985fe"/>
      <w:bookmarkEnd w:id="865"/>
      <w:bookmarkEnd w:id="866"/>
      <w:r>
        <w:rPr>
          <w:rFonts w:ascii="Times New Roman;Times;serif" w:hAnsi="Times New Roman;Times;serif"/>
          <w:b/>
          <w:sz w:val="20"/>
        </w:rPr>
        <w:t>ITEM 4. CONTROLS AND PROCEDURES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Management’s Evaluation of Disclosure Controls and Procedures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carried out an evaluation, under the supervision and with the participation of our management, including our principal executive and financial officer, of the effectiveness of our disclosure controls and procedures pursuant to Rule 13a-15(e) and 15d-15(e) under the Exchange Act as of the end of the period covered by this report. Based upon that evaluation, our President and Chief Executive Officer and our Chief Financial Officer concluded that, as of March 31, 2026, our disclosure controls and procedures were effective, in all material respects, with regard to the recording, processing, summarizing and reporting, within the time periods specified in the SEC’s rules and forms, for information required to be disclosed by us in the reports that we file or submit under the Exchange Act. Our disclosure controls and procedures include controls and procedures designed to ensure that information required to be disclosed in reports filed or submitted under the Exchange Act is accumulated and communicated to our management, including our President and Chief Executive Officer and our Chief Financial Officer, as appropriate, to allow timely decisions regarding required disclosure.</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As of December 31, 2025, we concluded that our internal control over financial reporting was not effective due to a material weakness in our internal control over financial reporting. Specifically, the Company did not design and maintain effective controls to ensure the accurate classification of revenue between Fee Revenue and Reimbursable Revenue, and classification of expenses between Fee Operating Expenses and Reimbursable Operating Expenses within the consolidated statement of operations and comprehensive loss. Specifically, a material error in classification was identified that our internal control over financial reporting failed to prevent or detect. While the total amount of operating revenues and operating expenses recognized for the periods presented were not materially misstated, the misclassification resulted in a material error in fee revenue, reimbursable revenue, fee operating expenses, and reimbursable operating expenses in the Company’s consolidated statement of operations and comprehensive loss. No other financial statement line items were affected by this error. The misstatements were corrected in the consolidated statement of operations and comprehensive loss presented in our Annual Report on Form 10-K for the year ended December 31, 2025.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implemented remediation steps to address the material weakness and to improve internal control over financial reporting. Specifically, management designed and implemented a review control to perform a look back analysis related to uncompleted customer contracts at the end of each reporting period to ensure the correct classification of revenue earned and expenses incurred in satisfying performance obligations under contracts with customers. As of March 31, 2026, we conclude that this material weakness has been remediated.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Except for the remediation of the material weakness described above, there have not been any changes in our internal control over financial reporting (as defined in Rule 13a-15(f) and 15d-15(f) of the Exchange Act) during the three months ended March 31, 2026, that have materially affected or are reasonably likely to materially affect our internal control over financial reporting. </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867" w:name="PARTIIOTHERINFORMATION_378548"/>
      <w:bookmarkStart w:id="868" w:name="_2ac5b3b9_eaa9_4074_a70c_89185d6ae756"/>
      <w:bookmarkEnd w:id="867"/>
      <w:bookmarkEnd w:id="868"/>
      <w:r>
        <w:rPr>
          <w:rFonts w:ascii="Times New Roman;Times;serif" w:hAnsi="Times New Roman;Times;serif"/>
          <w:b/>
          <w:sz w:val="20"/>
        </w:rPr>
        <w:t>PART II. OTHER INFORMATION</w:t>
      </w:r>
    </w:p>
    <w:p>
      <w:pPr>
        <w:pStyle w:val="TextBody"/>
        <w:bidi w:val="0"/>
        <w:spacing w:lineRule="auto" w:line="285" w:before="0" w:after="240"/>
        <w:ind w:left="0" w:right="0" w:hanging="0"/>
        <w:jc w:val="both"/>
        <w:rPr>
          <w:rFonts w:ascii="Times New Roman;Times;serif" w:hAnsi="Times New Roman;Times;serif"/>
          <w:b/>
          <w:sz w:val="20"/>
        </w:rPr>
      </w:pPr>
      <w:bookmarkStart w:id="869" w:name="ITEM1LEGALPROCEEDINGS_315864"/>
      <w:bookmarkEnd w:id="869"/>
      <w:r>
        <w:rPr>
          <w:rFonts w:ascii="Times New Roman;Times;serif" w:hAnsi="Times New Roman;Times;serif"/>
          <w:b/>
          <w:sz w:val="20"/>
        </w:rPr>
        <w:t>ITEM 1. LEGAL PROCEEDINGS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Refer to Note 8 – Commitments and Contingencies in the Notes to the Condensed Consolidated Financial Statements (Part I, Item 1 of this Form 10-Q) for a discussion of the Company’s legal proceedings.</w:t>
      </w:r>
    </w:p>
    <w:p>
      <w:pPr>
        <w:pStyle w:val="TextBody"/>
        <w:bidi w:val="0"/>
        <w:spacing w:lineRule="auto" w:line="285" w:before="0" w:after="240"/>
        <w:ind w:left="0" w:right="0" w:hanging="0"/>
        <w:jc w:val="both"/>
        <w:rPr>
          <w:rFonts w:ascii="Times New Roman;Times;serif" w:hAnsi="Times New Roman;Times;serif"/>
          <w:b/>
          <w:sz w:val="20"/>
        </w:rPr>
      </w:pPr>
      <w:bookmarkStart w:id="870" w:name="ITEM1ARISKFACTORS_294464"/>
      <w:bookmarkStart w:id="871" w:name="_578dd29f_28b5_4800_a44b_c3f37d18927c"/>
      <w:bookmarkEnd w:id="870"/>
      <w:bookmarkEnd w:id="871"/>
      <w:r>
        <w:rPr>
          <w:rFonts w:ascii="Times New Roman;Times;serif" w:hAnsi="Times New Roman;Times;serif"/>
          <w:b/>
          <w:sz w:val="20"/>
        </w:rPr>
        <w:t>ITEM 1A. RISK FACTORS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There have been no material changes in the significant risk factors that may affect our business, results of operations or liquidity as described in Part I, “Item 1A. Risk Factors” in our Annual </w:t>
      </w:r>
      <w:r>
        <w:rPr>
          <w:rFonts w:ascii="Times New Roman;Times;serif" w:hAnsi="Times New Roman;Times;serif"/>
          <w:color w:val="252525"/>
          <w:sz w:val="20"/>
        </w:rPr>
        <w:t>Report</w:t>
      </w:r>
      <w:r>
        <w:rPr>
          <w:rFonts w:ascii="Times New Roman;Times;serif" w:hAnsi="Times New Roman;Times;serif"/>
          <w:sz w:val="20"/>
        </w:rPr>
        <w:t xml:space="preserve"> on Form 10-K for the year ended December 31, 2025.</w:t>
      </w:r>
    </w:p>
    <w:p>
      <w:pPr>
        <w:pStyle w:val="TextBody"/>
        <w:bidi w:val="0"/>
        <w:spacing w:lineRule="auto" w:line="314" w:before="0" w:after="120"/>
        <w:ind w:left="0" w:right="0" w:hanging="0"/>
        <w:jc w:val="left"/>
        <w:rPr>
          <w:rFonts w:ascii="Times New Roman;Times;serif" w:hAnsi="Times New Roman;Times;serif"/>
          <w:sz w:val="20"/>
        </w:rPr>
      </w:pPr>
      <w:bookmarkStart w:id="872" w:name="ITEM2UNREGISTEREDSALESOFEQUITYSECURITIES"/>
      <w:bookmarkStart w:id="873" w:name="_a76e8352_3b3a_4876_baf0_5bd901f5753c"/>
      <w:bookmarkEnd w:id="872"/>
      <w:bookmarkEnd w:id="873"/>
      <w:r>
        <w:rPr>
          <w:rFonts w:ascii="Times New Roman;Times;serif" w:hAnsi="Times New Roman;Times;serif"/>
          <w:b/>
          <w:sz w:val="20"/>
        </w:rPr>
        <w:t xml:space="preserve">ITEM 2. </w:t>
      </w:r>
      <w:r>
        <w:rPr>
          <w:rFonts w:ascii="Times New Roman;Times;serif" w:hAnsi="Times New Roman;Times;serif"/>
          <w:b/>
          <w:sz w:val="20"/>
          <w:shd w:fill="FFFFFF" w:val="clear"/>
        </w:rPr>
        <w:t>UNREGISTERED SALES OF EQUITY SECURITIES AND USE OF PROCEEDS</w:t>
      </w:r>
      <w:r>
        <w:rPr>
          <w:rFonts w:ascii="Times New Roman;Times;serif" w:hAnsi="Times New Roman;Times;serif"/>
          <w:sz w:val="20"/>
        </w:rPr>
        <w:t xml:space="preserve">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lineRule="auto" w:line="314" w:before="0" w:after="120"/>
        <w:ind w:left="0" w:right="0" w:hanging="0"/>
        <w:jc w:val="left"/>
        <w:rPr>
          <w:rFonts w:ascii="Times New Roman;Times;serif" w:hAnsi="Times New Roman;Times;serif"/>
          <w:sz w:val="20"/>
        </w:rPr>
      </w:pPr>
      <w:bookmarkStart w:id="874" w:name="ITEM3DEFAULTSUPONSENIORSECURITIES"/>
      <w:bookmarkStart w:id="875" w:name="_57c52514_d603_4407_8eba_6e69df2ab298"/>
      <w:bookmarkEnd w:id="874"/>
      <w:bookmarkEnd w:id="875"/>
      <w:r>
        <w:rPr>
          <w:rFonts w:ascii="Times New Roman;Times;serif" w:hAnsi="Times New Roman;Times;serif"/>
          <w:b/>
          <w:sz w:val="20"/>
        </w:rPr>
        <w:t xml:space="preserve">ITEM 3. </w:t>
      </w:r>
      <w:r>
        <w:rPr>
          <w:rFonts w:ascii="Times New Roman;Times;serif" w:hAnsi="Times New Roman;Times;serif"/>
          <w:b/>
          <w:sz w:val="20"/>
          <w:shd w:fill="FFFFFF" w:val="clear"/>
        </w:rPr>
        <w:t>DEFAULTS UPON SENIOR SECURITIES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None</w:t>
      </w:r>
      <w:r>
        <w:rPr>
          <w:rFonts w:ascii="Times New Roman;Times;serif" w:hAnsi="Times New Roman;Times;serif"/>
          <w:sz w:val="20"/>
          <w:shd w:fill="FFFFFF" w:val="clear"/>
        </w:rPr>
        <w:t>.</w:t>
      </w:r>
    </w:p>
    <w:p>
      <w:pPr>
        <w:pStyle w:val="TextBody"/>
        <w:bidi w:val="0"/>
        <w:spacing w:lineRule="auto" w:line="314" w:before="0" w:after="120"/>
        <w:ind w:left="0" w:right="0" w:hanging="0"/>
        <w:jc w:val="left"/>
        <w:rPr>
          <w:rFonts w:ascii="Times New Roman;Times;serif" w:hAnsi="Times New Roman;Times;serif"/>
          <w:sz w:val="20"/>
        </w:rPr>
      </w:pPr>
      <w:bookmarkStart w:id="876" w:name="ITEM4MINESAFETYDISCLOSURES"/>
      <w:bookmarkStart w:id="877" w:name="_1b52d94f_fc1f_49ba_90fb_d179ae71e162"/>
      <w:bookmarkEnd w:id="876"/>
      <w:bookmarkEnd w:id="877"/>
      <w:r>
        <w:rPr>
          <w:rFonts w:ascii="Times New Roman;Times;serif" w:hAnsi="Times New Roman;Times;serif"/>
          <w:b/>
          <w:sz w:val="20"/>
        </w:rPr>
        <w:t xml:space="preserve">ITEM 4. </w:t>
      </w:r>
      <w:r>
        <w:rPr>
          <w:rFonts w:ascii="Times New Roman;Times;serif" w:hAnsi="Times New Roman;Times;serif"/>
          <w:b/>
          <w:sz w:val="20"/>
          <w:shd w:fill="FFFFFF" w:val="clear"/>
        </w:rPr>
        <w:t>MINE SAFETY DISCLOSURES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14" w:before="0" w:after="120"/>
        <w:ind w:left="0" w:right="0" w:hanging="0"/>
        <w:jc w:val="left"/>
        <w:rPr>
          <w:rFonts w:ascii="Times New Roman;Times;serif" w:hAnsi="Times New Roman;Times;serif"/>
          <w:sz w:val="20"/>
        </w:rPr>
      </w:pPr>
      <w:bookmarkStart w:id="878" w:name="ITEM5OTHERINFORMATION"/>
      <w:bookmarkStart w:id="879" w:name="_f60e8077_3aa2_48fb_9d55_54d90b2100ac"/>
      <w:bookmarkEnd w:id="878"/>
      <w:bookmarkEnd w:id="879"/>
      <w:r>
        <w:rPr>
          <w:rFonts w:ascii="Times New Roman;Times;serif" w:hAnsi="Times New Roman;Times;serif"/>
          <w:b/>
          <w:sz w:val="20"/>
          <w:shd w:fill="FFFFFF" w:val="clear"/>
        </w:rPr>
        <w:t xml:space="preserve">ITEM 5. </w:t>
      </w:r>
      <w:r>
        <w:rPr>
          <w:rFonts w:ascii="Times New Roman;Times;serif" w:hAnsi="Times New Roman;Times;serif"/>
          <w:b/>
          <w:sz w:val="20"/>
        </w:rPr>
        <w:t>OTHER</w:t>
      </w:r>
      <w:r>
        <w:rPr>
          <w:rFonts w:ascii="Times New Roman;Times;serif" w:hAnsi="Times New Roman;Times;serif"/>
          <w:sz w:val="20"/>
          <w:shd w:fill="FFFFFF" w:val="clear"/>
        </w:rPr>
        <w:t xml:space="preserve"> </w:t>
      </w:r>
      <w:r>
        <w:rPr>
          <w:rFonts w:ascii="Times New Roman;Times;serif" w:hAnsi="Times New Roman;Times;serif"/>
          <w:b/>
          <w:sz w:val="20"/>
          <w:shd w:fill="FFFFFF" w:val="clear"/>
        </w:rPr>
        <w:t>INFORMATION</w:t>
      </w:r>
    </w:p>
    <w:tbl>
      <w:tblPr>
        <w:tblW w:w="1836" w:type="dxa"/>
        <w:jc w:val="left"/>
        <w:tblInd w:w="0" w:type="dxa"/>
        <w:tblLayout w:type="fixed"/>
        <w:tblCellMar>
          <w:top w:w="28" w:type="dxa"/>
          <w:left w:w="28" w:type="dxa"/>
          <w:bottom w:w="28" w:type="dxa"/>
          <w:right w:w="28" w:type="dxa"/>
        </w:tblCellMar>
      </w:tblPr>
      <w:tblGrid>
        <w:gridCol w:w="124"/>
        <w:gridCol w:w="316"/>
        <w:gridCol w:w="139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tbl>
      <w:tblPr>
        <w:tblW w:w="1086" w:type="dxa"/>
        <w:jc w:val="left"/>
        <w:tblInd w:w="0" w:type="dxa"/>
        <w:tblLayout w:type="fixed"/>
        <w:tblCellMar>
          <w:top w:w="28" w:type="dxa"/>
          <w:left w:w="28" w:type="dxa"/>
          <w:bottom w:w="28" w:type="dxa"/>
          <w:right w:w="28" w:type="dxa"/>
        </w:tblCellMar>
      </w:tblPr>
      <w:tblGrid>
        <w:gridCol w:w="124"/>
        <w:gridCol w:w="331"/>
        <w:gridCol w:w="6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9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months ended March 31, 2026, none of the Company's directors or officers adopted</w:t>
            </w:r>
            <w:r>
              <w:rPr>
                <w:caps w:val="false"/>
                <w:smallCaps w:val="false"/>
              </w:rPr>
              <w:t xml:space="preserve"> </w:t>
            </w:r>
            <w:r>
              <w:rPr>
                <w:rFonts w:ascii="Times New Roman;Times;serif" w:hAnsi="Times New Roman;Times;serif"/>
                <w:b w:val="false"/>
                <w:i w:val="false"/>
                <w:caps w:val="false"/>
                <w:smallCaps w:val="false"/>
                <w:sz w:val="20"/>
              </w:rPr>
              <w:t>or terminated</w:t>
            </w:r>
            <w:r>
              <w:rPr>
                <w:caps w:val="false"/>
                <w:smallCaps w:val="false"/>
              </w:rPr>
              <w:t xml:space="preserve"> </w:t>
            </w:r>
            <w:r>
              <w:rPr>
                <w:rFonts w:ascii="Times New Roman;Times;serif" w:hAnsi="Times New Roman;Times;serif"/>
                <w:b w:val="false"/>
                <w:i w:val="false"/>
                <w:caps w:val="false"/>
                <w:smallCaps w:val="false"/>
                <w:sz w:val="20"/>
              </w:rPr>
              <w:t>a Rule 10b5-1</w:t>
            </w:r>
            <w:r>
              <w:rPr>
                <w:caps w:val="false"/>
                <w:smallCaps w:val="false"/>
              </w:rPr>
              <w:t xml:space="preserve"> </w:t>
            </w:r>
            <w:r>
              <w:rPr>
                <w:rFonts w:ascii="Times New Roman;Times;serif" w:hAnsi="Times New Roman;Times;serif"/>
                <w:b w:val="false"/>
                <w:i w:val="false"/>
                <w:caps w:val="false"/>
                <w:smallCaps w:val="false"/>
                <w:sz w:val="20"/>
              </w:rPr>
              <w:t>trading arrangement or a non-Rule 10b5-1</w:t>
            </w:r>
            <w:r>
              <w:rPr>
                <w:caps w:val="false"/>
                <w:smallCaps w:val="false"/>
              </w:rPr>
              <w:t xml:space="preserve"> </w:t>
            </w:r>
            <w:r>
              <w:rPr>
                <w:rFonts w:ascii="Times New Roman;Times;serif" w:hAnsi="Times New Roman;Times;serif"/>
                <w:b w:val="false"/>
                <w:i w:val="false"/>
                <w:caps w:val="false"/>
                <w:smallCaps w:val="false"/>
                <w:sz w:val="20"/>
              </w:rPr>
              <w:t>trading arrangement (each as defined in Item 408(c) of Regulation S-K).</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rFonts w:ascii="Times New Roman;Times;serif" w:hAnsi="Times New Roman;Times;serif"/>
          <w:b/>
          <w:sz w:val="20"/>
        </w:rPr>
      </w:pPr>
      <w:bookmarkStart w:id="880" w:name="_2f93f501_d099_40d7_adf7_a7b3e83d7944"/>
      <w:bookmarkStart w:id="881" w:name="ITEM6"/>
      <w:bookmarkEnd w:id="880"/>
      <w:bookmarkEnd w:id="881"/>
      <w:r>
        <w:rPr>
          <w:rFonts w:ascii="Times New Roman;Times;serif" w:hAnsi="Times New Roman;Times;serif"/>
          <w:b/>
          <w:sz w:val="20"/>
        </w:rPr>
        <w:t>ITEM 6. EXHIBITS</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8"/>
        <w:gridCol w:w="346"/>
        <w:gridCol w:w="9041"/>
      </w:tblGrid>
      <w:tr>
        <w:trPr/>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19430" cy="29210"/>
                      <wp:effectExtent l="0" t="0" r="0" b="0"/>
                      <wp:wrapNone/>
                      <wp:docPr id="245" name="Frame245"/>
                      <a:graphic xmlns:a="http://schemas.openxmlformats.org/drawingml/2006/main">
                        <a:graphicData uri="http://schemas.microsoft.com/office/word/2010/wordprocessingShape">
                          <wps:wsp>
                            <wps:cNvSpPr txBox="1"/>
                            <wps:spPr>
                              <a:xfrm>
                                <a:off x="0" y="0"/>
                                <a:ext cx="5194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29210"/>
                      <wp:effectExtent l="0" t="0" r="0" b="0"/>
                      <wp:wrapNone/>
                      <wp:docPr id="246" name="Frame24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741035" cy="29210"/>
                      <wp:effectExtent l="0" t="0" r="0" b="0"/>
                      <wp:wrapNone/>
                      <wp:docPr id="247" name="Frame247"/>
                      <a:graphic xmlns:a="http://schemas.openxmlformats.org/drawingml/2006/main">
                        <a:graphicData uri="http://schemas.microsoft.com/office/word/2010/wordprocessingShape">
                          <wps:wsp>
                            <wps:cNvSpPr txBox="1"/>
                            <wps:spPr>
                              <a:xfrm>
                                <a:off x="0" y="0"/>
                                <a:ext cx="5741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8"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pPr>
            <w:r>
              <w:rPr/>
              <w:t>  ​ ​ ​</w:t>
            </w:r>
          </w:p>
        </w:tc>
        <w:tc>
          <w:tcPr>
            <w:tcW w:w="904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r>
      <w:tr>
        <w:trPr/>
        <w:tc>
          <w:tcPr>
            <w:tcW w:w="81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left"/>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r:id="rId2">
              <w:r>
                <w:rPr>
                  <w:rStyle w:val="InternetLink"/>
                  <w:rFonts w:ascii="Times New Roman;Times;serif" w:hAnsi="Times New Roman;Times;serif"/>
                  <w:b w:val="false"/>
                  <w:i w:val="false"/>
                  <w:caps w:val="false"/>
                  <w:smallCaps w:val="false"/>
                  <w:sz w:val="20"/>
                </w:rPr>
                <w:t>Amended and Restated Certificate of Formation, dated February 9, 2015, filed as Exhibit 3.1 to the Company’s Annual Report on Form 10-K, filed on March 16, 2015, and incorporated herein by reference.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r:id="rId3">
              <w:r>
                <w:rPr>
                  <w:rStyle w:val="InternetLink"/>
                  <w:rFonts w:ascii="Times New Roman;Times;serif" w:hAnsi="Times New Roman;Times;serif"/>
                  <w:b w:val="false"/>
                  <w:i w:val="false"/>
                  <w:caps w:val="false"/>
                  <w:smallCaps w:val="false"/>
                  <w:sz w:val="20"/>
                </w:rPr>
                <w:t>Certificate of Amendment to Amended and Restated Certificate of Formation, dated February 11, 2015, filed as Exhibit 3.1 to the Company’s Annual Report on Form 10-K, filed on March 16, 2015, and incorporated herein by reference.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Amendment to Amended and Restated Certificate of Formation, dated December 1, 2023, filed as Exhibit 3.1 to the Company’s Current Report on Form 8-K, filed on December 1, 2023, and incorporated herein by reference.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r:id="rId5">
              <w:r>
                <w:rPr>
                  <w:rStyle w:val="InternetLink"/>
                  <w:rFonts w:ascii="Times New Roman;Times;serif" w:hAnsi="Times New Roman;Times;serif"/>
                  <w:b w:val="false"/>
                  <w:i w:val="false"/>
                  <w:caps w:val="false"/>
                  <w:smallCaps w:val="false"/>
                  <w:sz w:val="20"/>
                </w:rPr>
                <w:t>Second Amended and Restated Bylaws, dated December 1, 2023, filed as Exhibit 3.2 to the Company’s Current Report on Form 8-K, filed on December 1, 2023, and incorporated herein by reference.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w:anchor="dwsn-20260331xex31d1.htm">
              <w:r>
                <w:rPr>
                  <w:rStyle w:val="InternetLink"/>
                  <w:rFonts w:ascii="Times New Roman;Times;serif" w:hAnsi="Times New Roman;Times;serif"/>
                  <w:b w:val="false"/>
                  <w:i w:val="false"/>
                  <w:caps w:val="false"/>
                  <w:smallCaps w:val="false"/>
                  <w:sz w:val="20"/>
                </w:rPr>
                <w:t>Certification of Chief Executive Officer of Dawson Geophysical Company pursuant to Rule 13a-14(a) promulgated under the Securities Exchange Act of 1934, as amended.</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w:anchor="dwsn-20260331xex31d2.htm">
              <w:r>
                <w:rPr>
                  <w:rStyle w:val="InternetLink"/>
                  <w:rFonts w:ascii="Times New Roman;Times;serif" w:hAnsi="Times New Roman;Times;serif"/>
                  <w:b w:val="false"/>
                  <w:i w:val="false"/>
                  <w:caps w:val="false"/>
                  <w:smallCaps w:val="false"/>
                  <w:sz w:val="20"/>
                </w:rPr>
                <w:t>Certification of Chief Financial Officer of Dawson Geophysical Company pursuant to Rule 13a-14(a) promulgated under the Securities Exchange Act of 1934, as amended.</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w:anchor="dwsn-20260331xex32d1.htm">
              <w:r>
                <w:rPr>
                  <w:rStyle w:val="InternetLink"/>
                  <w:rFonts w:ascii="Times New Roman;Times;serif" w:hAnsi="Times New Roman;Times;serif"/>
                  <w:b w:val="false"/>
                  <w:i w:val="false"/>
                  <w:caps w:val="false"/>
                  <w:smallCaps w:val="false"/>
                  <w:sz w:val="20"/>
                </w:rPr>
                <w:t>Certification of Chief Executive Officer of Dawson Geophysical Company pursuant to Rule 13a-14(b) promulgated under the Securities Exchange Act of 1934, as amended, and Section 1350 of Chapter 63 of Title 18 of the United States Code.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w:anchor="dwsn-20260331xex32d2.htm">
              <w:r>
                <w:rPr>
                  <w:rStyle w:val="InternetLink"/>
                  <w:rFonts w:ascii="Times New Roman;Times;serif" w:hAnsi="Times New Roman;Times;serif"/>
                  <w:b w:val="false"/>
                  <w:i w:val="false"/>
                  <w:caps w:val="false"/>
                  <w:smallCaps w:val="false"/>
                  <w:sz w:val="20"/>
                </w:rPr>
                <w:t>Certification of Chief Financial Officer of Dawson Geophysical Company pursuant to Rule 13a-14(b) promulgated under the Securities Exchange Act of 1934, as amended, and Section 1350 of Chapter 63 of Title 18 of the United States Code.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pBdr/>
        <w:bidi w:val="0"/>
        <w:spacing w:lineRule="auto" w:line="285" w:before="0" w:after="0"/>
        <w:ind w:left="0" w:right="0" w:hanging="490"/>
        <w:jc w:val="left"/>
        <w:rPr>
          <w:rFonts w:ascii="Times New Roman;Times;serif" w:hAnsi="Times New Roman;Times;serif"/>
          <w:sz w:val="20"/>
        </w:rPr>
      </w:pPr>
      <w:r>
        <w:rPr>
          <w:rFonts w:ascii="Times New Roman;Times;serif" w:hAnsi="Times New Roman;Times;serif"/>
          <w:sz w:val="20"/>
        </w:rPr>
        <w:t>*         Filed herewith.</w:t>
      </w:r>
    </w:p>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shd w:fill="FFFFFF" w:val="clear"/>
              </w:rPr>
              <w:t>Furnished herewith</w:t>
            </w:r>
            <w:r>
              <w:rPr>
                <w:rFonts w:ascii="Times New Roman;Times;serif" w:hAnsi="Times New Roman;Times;serif"/>
                <w:sz w:val="20"/>
              </w:rPr>
              <w:t xml:space="preserve"> </w:t>
            </w:r>
          </w:p>
        </w:tc>
      </w:tr>
    </w:tbl>
    <w:p>
      <w:pPr>
        <w:pStyle w:val="TextBody"/>
        <w:pBdr/>
        <w:bidi w:val="0"/>
        <w:spacing w:lineRule="auto" w:line="285" w:before="0" w:after="0"/>
        <w:ind w:left="0" w:right="0" w:hanging="540"/>
        <w:jc w:val="left"/>
        <w:rPr>
          <w:shd w:fill="FFFFFF" w:val="clear"/>
        </w:rPr>
      </w:pPr>
      <w:r>
        <w:rPr>
          <w:shd w:fill="FFFFFF" w:val="clear"/>
        </w:rPr>
        <w:t>​</w:t>
      </w:r>
    </w:p>
    <w:p>
      <w:pPr>
        <w:pStyle w:val="TextBody"/>
        <w:pBdr/>
        <w:bidi w:val="0"/>
        <w:spacing w:lineRule="auto" w:line="285" w:before="0" w:after="0"/>
        <w:ind w:left="0" w:right="0" w:hanging="49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882" w:name="SIGNATURES_258787"/>
      <w:bookmarkStart w:id="883" w:name="_8b8c331b_8a1a_48a7_80df_493a11f68208"/>
      <w:bookmarkEnd w:id="882"/>
      <w:bookmarkEnd w:id="883"/>
      <w:r>
        <w:rPr>
          <w:rFonts w:ascii="Times New Roman;Times;serif" w:hAnsi="Times New Roman;Times;serif"/>
          <w:b/>
          <w:sz w:val="20"/>
        </w:rPr>
        <w:t>SIGNATURES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493" w:type="dxa"/>
        <w:jc w:val="left"/>
        <w:tblInd w:w="0" w:type="dxa"/>
        <w:tblLayout w:type="fixed"/>
        <w:tblCellMar>
          <w:top w:w="0" w:type="dxa"/>
          <w:left w:w="0" w:type="dxa"/>
          <w:bottom w:w="0" w:type="dxa"/>
          <w:right w:w="0" w:type="dxa"/>
        </w:tblCellMar>
      </w:tblPr>
      <w:tblGrid>
        <w:gridCol w:w="1876"/>
        <w:gridCol w:w="406"/>
        <w:gridCol w:w="3211"/>
      </w:tblGrid>
      <w:tr>
        <w:trPr/>
        <w:tc>
          <w:tcPr>
            <w:tcW w:w="1876" w:type="dxa"/>
            <w:tcBorders/>
            <w:vAlign w:val="center"/>
          </w:tcPr>
          <w:p>
            <w:pPr>
              <w:pStyle w:val="TableContents"/>
              <w:bidi w:val="0"/>
              <w:spacing w:lineRule="auto" w:line="285" w:before="0" w:after="0"/>
              <w:ind w:left="0" w:right="0" w:hanging="0"/>
              <w:jc w:val="left"/>
              <w:rPr/>
            </w:pPr>
            <w:r>
              <w:rPr/>
              <w:t>​</w:t>
            </w:r>
          </w:p>
        </w:tc>
        <w:tc>
          <w:tcPr>
            <w:tcW w:w="3617" w:type="dxa"/>
            <w:gridSpan w:val="2"/>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18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William A. Clark</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William A. Clark</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18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0"/>
        <w:ind w:left="0" w:right="0" w:hanging="0"/>
        <w:jc w:val="right"/>
        <w:rPr>
          <w:rFonts w:ascii="Times New Roman;Times;serif" w:hAnsi="Times New Roman;Times;serif"/>
          <w:b/>
          <w:sz w:val="20"/>
        </w:rPr>
      </w:pPr>
      <w:bookmarkStart w:id="884" w:name="dwsn-20260331xex31d1.htm"/>
      <w:bookmarkStart w:id="885" w:name="ksdwsn20260331xex31d1"/>
      <w:bookmarkEnd w:id="884"/>
      <w:bookmarkEnd w:id="885"/>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William A. Clark, certify that:</w:t>
      </w:r>
    </w:p>
    <w:p>
      <w:pPr>
        <w:pStyle w:val="TextBody"/>
        <w:bidi w:val="0"/>
        <w:spacing w:lineRule="auto" w:line="285" w:before="0" w:after="0"/>
        <w:ind w:left="0" w:right="0" w:hanging="0"/>
        <w:jc w:val="left"/>
        <w:rPr/>
      </w:pPr>
      <w:r>
        <w:rPr/>
        <w:t>​</w:t>
      </w:r>
    </w:p>
    <w:tbl>
      <w:tblPr>
        <w:tblW w:w="7150" w:type="dxa"/>
        <w:jc w:val="left"/>
        <w:tblInd w:w="0" w:type="dxa"/>
        <w:tblLayout w:type="fixed"/>
        <w:tblCellMar>
          <w:top w:w="0" w:type="dxa"/>
          <w:left w:w="0" w:type="dxa"/>
          <w:bottom w:w="0" w:type="dxa"/>
          <w:right w:w="0" w:type="dxa"/>
        </w:tblCellMar>
      </w:tblPr>
      <w:tblGrid>
        <w:gridCol w:w="170"/>
        <w:gridCol w:w="6980"/>
      </w:tblGrid>
      <w:tr>
        <w:trPr/>
        <w:tc>
          <w:tcPr>
            <w:tcW w:w="1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Dawson Geophysical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center"/>
        <w:rPr/>
      </w:pPr>
      <w:r>
        <w:rPr/>
        <w:t>​</w:t>
      </w:r>
    </w:p>
    <w:tbl>
      <w:tblPr>
        <w:tblW w:w="5057" w:type="dxa"/>
        <w:jc w:val="center"/>
        <w:tblInd w:w="0" w:type="dxa"/>
        <w:tblLayout w:type="fixed"/>
        <w:tblCellMar>
          <w:top w:w="0" w:type="dxa"/>
          <w:left w:w="0" w:type="dxa"/>
          <w:bottom w:w="0" w:type="dxa"/>
          <w:right w:w="0" w:type="dxa"/>
        </w:tblCellMar>
      </w:tblPr>
      <w:tblGrid>
        <w:gridCol w:w="1846"/>
        <w:gridCol w:w="3211"/>
      </w:tblGrid>
      <w:tr>
        <w:trPr/>
        <w:tc>
          <w:tcPr>
            <w:tcW w:w="184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May 15, 2026</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William A. Clark</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A. Clark</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886" w:name="dwsn-20260331xex31d2.htm"/>
      <w:bookmarkStart w:id="887" w:name="ksdwsn20260331xex31d2"/>
      <w:bookmarkEnd w:id="886"/>
      <w:bookmarkEnd w:id="887"/>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Ian Shaw, certify that:</w:t>
      </w:r>
    </w:p>
    <w:p>
      <w:pPr>
        <w:pStyle w:val="TextBody"/>
        <w:bidi w:val="0"/>
        <w:spacing w:lineRule="auto" w:line="285" w:before="0" w:after="0"/>
        <w:ind w:left="0" w:right="0" w:hanging="0"/>
        <w:jc w:val="left"/>
        <w:rPr/>
      </w:pPr>
      <w:r>
        <w:rPr/>
        <w:t>​</w:t>
      </w:r>
    </w:p>
    <w:tbl>
      <w:tblPr>
        <w:tblW w:w="7150" w:type="dxa"/>
        <w:jc w:val="left"/>
        <w:tblInd w:w="0" w:type="dxa"/>
        <w:tblLayout w:type="fixed"/>
        <w:tblCellMar>
          <w:top w:w="0" w:type="dxa"/>
          <w:left w:w="0" w:type="dxa"/>
          <w:bottom w:w="0" w:type="dxa"/>
          <w:right w:w="0" w:type="dxa"/>
        </w:tblCellMar>
      </w:tblPr>
      <w:tblGrid>
        <w:gridCol w:w="170"/>
        <w:gridCol w:w="6980"/>
      </w:tblGrid>
      <w:tr>
        <w:trPr/>
        <w:tc>
          <w:tcPr>
            <w:tcW w:w="1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Dawson Geophysical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center"/>
        <w:rPr/>
      </w:pPr>
      <w:r>
        <w:rPr/>
        <w:t>​</w:t>
      </w:r>
    </w:p>
    <w:tbl>
      <w:tblPr>
        <w:tblW w:w="5492" w:type="dxa"/>
        <w:jc w:val="center"/>
        <w:tblInd w:w="0" w:type="dxa"/>
        <w:tblLayout w:type="fixed"/>
        <w:tblCellMar>
          <w:top w:w="0" w:type="dxa"/>
          <w:left w:w="0" w:type="dxa"/>
          <w:bottom w:w="0" w:type="dxa"/>
          <w:right w:w="0" w:type="dxa"/>
        </w:tblCellMar>
      </w:tblPr>
      <w:tblGrid>
        <w:gridCol w:w="1846"/>
        <w:gridCol w:w="3646"/>
      </w:tblGrid>
      <w:tr>
        <w:trPr/>
        <w:tc>
          <w:tcPr>
            <w:tcW w:w="1846"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May 15, 2026</w:t>
            </w:r>
          </w:p>
        </w:tc>
        <w:tc>
          <w:tcPr>
            <w:tcW w:w="364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888" w:name="dwsn-20260331xex32d1.htm"/>
      <w:bookmarkStart w:id="889" w:name="ksdwsn20260331xex32d1"/>
      <w:bookmarkEnd w:id="888"/>
      <w:bookmarkEnd w:id="889"/>
      <w:r>
        <w:rPr>
          <w:rFonts w:ascii="Times New Roman;Times;serif" w:hAnsi="Times New Roman;Time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of Dawson Geophysical Company (the “Company”) on Form 10-Q for the period ended March 31, 2026, as filed with the Securities and Exchange Commission (the “Report”), I, William A. Clark, President and Chief Executive Officer of the Company, certify, pursuant to 18 U.S.C. Section 1350, as adopted pursuant to Section 906 of the Sarbanes-Oxley Act of 2002, that to my knowledge:</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(1)</w:t>
            </w:r>
          </w:p>
        </w:tc>
        <w:tc>
          <w:tcPr>
            <w:tcW w:w="99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(15 U.S.C. 78m or 78o(d));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May 15, 2026</w:t>
      </w:r>
    </w:p>
    <w:p>
      <w:pPr>
        <w:pStyle w:val="TextBody"/>
        <w:bidi w:val="0"/>
        <w:spacing w:lineRule="auto" w:line="285" w:before="0" w:after="0"/>
        <w:ind w:left="0" w:right="0" w:hanging="0"/>
        <w:jc w:val="center"/>
        <w:rPr/>
      </w:pPr>
      <w:r>
        <w:rPr/>
        <w:t>​</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William A. Clark</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A. Clark</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890" w:name="dwsn-20260331xex32d2.htm"/>
      <w:bookmarkStart w:id="891" w:name="ksdwsn20260331xex32d2"/>
      <w:bookmarkEnd w:id="890"/>
      <w:bookmarkEnd w:id="891"/>
      <w:r>
        <w:rPr>
          <w:rFonts w:ascii="Times New Roman;Times;serif" w:hAnsi="Times New Roman;Time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of Dawson Geophysical Company (the “Company”) on Form 10-Q for the period ended March 31, 2026, as filed with the Securities and Exchange Commission (the “Report”), I, Ian Shaw, Chief Financial Officer of the Company, certify, pursuant to 18 U.S.C. Section 1350, as adopted pursuant to Section 906 of the Sarbanes-Oxley Act of 2002, that to my knowledge:</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(1)</w:t>
            </w:r>
          </w:p>
        </w:tc>
        <w:tc>
          <w:tcPr>
            <w:tcW w:w="99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(15 U.S.C. 78m or 78o(d));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Dated: May 15, 2026</w:t>
      </w:r>
    </w:p>
    <w:p>
      <w:pPr>
        <w:pStyle w:val="TextBody"/>
        <w:bidi w:val="0"/>
        <w:spacing w:lineRule="auto" w:line="285" w:before="0" w:after="0"/>
        <w:ind w:left="0" w:right="0" w:hanging="0"/>
        <w:jc w:val="center"/>
        <w:rPr/>
      </w:pPr>
      <w:r>
        <w:rPr/>
        <w:t>​</w:t>
      </w:r>
    </w:p>
    <w:tbl>
      <w:tblPr>
        <w:tblW w:w="3770" w:type="dxa"/>
        <w:jc w:val="center"/>
        <w:tblInd w:w="0" w:type="dxa"/>
        <w:tblLayout w:type="fixed"/>
        <w:tblCellMar>
          <w:top w:w="0" w:type="dxa"/>
          <w:left w:w="0" w:type="dxa"/>
          <w:bottom w:w="0" w:type="dxa"/>
          <w:right w:w="0" w:type="dxa"/>
        </w:tblCellMar>
      </w:tblPr>
      <w:tblGrid>
        <w:gridCol w:w="124"/>
        <w:gridCol w:w="3646"/>
      </w:tblGrid>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99165/000110465915020069/a15-5087_1ex3d1.htm" TargetMode="External"/><Relationship Id="rId3" Type="http://schemas.openxmlformats.org/officeDocument/2006/relationships/hyperlink" Target="https://www.sec.gov/Archives/edgar/data/799165/000110465915020069/a15-5087_1ex3d1.htm" TargetMode="External"/><Relationship Id="rId4" Type="http://schemas.openxmlformats.org/officeDocument/2006/relationships/hyperlink" Target="https://www.sec.gov/Archives/edgar/data/799165/000110465923122834/tm2331966d1_ex3-1.htm" TargetMode="External"/><Relationship Id="rId5" Type="http://schemas.openxmlformats.org/officeDocument/2006/relationships/hyperlink" Target="https://www.sec.gov/Archives/edgar/data/799165/000110465923122834/tm2331966d1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13151</Words>
  <Characters>73366</Characters>
  <CharactersWithSpaces>87991</CharactersWithSpaces>
  <Paragraphs>4197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