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wsn-20260514x8k.htm"/>
      <w:bookmarkStart w:id="1" w:name="ksdwsn20260514x8k"/>
      <w:bookmarkEnd w:id="0"/>
      <w:bookmarkEnd w:id="1"/>
      <w:r>
        <w:rPr/>
        <w:t> </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15da68e4_c536_4050_9a19_ef9503e5a8a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the Securities Exchange Act of 1934</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May 14, 2026</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DAWSON GEOPHYSICAL COMPANY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 w:name="Tc_7zLWDvpn0ES29gJSmTf_XA_2_2"/>
      <w:bookmarkStart w:id="4" w:name="Tc_whaXRmMofUmz85vICLISgg_2_1"/>
      <w:bookmarkStart w:id="5" w:name="Tc_RqSVI9y1wkW1J2DCmnGoSA_2_0"/>
      <w:bookmarkStart w:id="6" w:name="_ac44583d_c586_47d6_b4ed_b932640050b6"/>
      <w:bookmarkStart w:id="7" w:name="Tc_7zLWDvpn0ES29gJSmTf_XA_2_2"/>
      <w:bookmarkStart w:id="8" w:name="Tc_whaXRmMofUmz85vICLISgg_2_1"/>
      <w:bookmarkStart w:id="9" w:name="Tc_RqSVI9y1wkW1J2DCmnGoSA_2_0"/>
      <w:bookmarkStart w:id="10" w:name="_ac44583d_c586_47d6_b4ed_b932640050b6"/>
      <w:bookmarkEnd w:id="7"/>
      <w:bookmarkEnd w:id="8"/>
      <w:bookmarkEnd w:id="9"/>
      <w:bookmarkEnd w:id="10"/>
    </w:p>
    <w:tbl>
      <w:tblPr>
        <w:tblW w:w="7503" w:type="dxa"/>
        <w:jc w:val="left"/>
        <w:tblInd w:w="0" w:type="dxa"/>
        <w:tblLayout w:type="fixed"/>
        <w:tblCellMar>
          <w:top w:w="0" w:type="dxa"/>
          <w:left w:w="0" w:type="dxa"/>
          <w:bottom w:w="0" w:type="dxa"/>
          <w:right w:w="0" w:type="dxa"/>
        </w:tblCellMar>
      </w:tblPr>
      <w:tblGrid>
        <w:gridCol w:w="1951"/>
        <w:gridCol w:w="2221"/>
        <w:gridCol w:w="333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2221"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texas</w:t>
            </w:r>
          </w:p>
        </w:tc>
        <w:tc>
          <w:tcPr>
            <w:tcW w:w="22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001-32472</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74-2095844</w:t>
            </w:r>
          </w:p>
        </w:tc>
      </w:tr>
      <w:tr>
        <w:trPr/>
        <w:tc>
          <w:tcPr>
            <w:tcW w:w="19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br/>
              <w:t>or organization)</w:t>
            </w:r>
          </w:p>
        </w:tc>
        <w:tc>
          <w:tcPr>
            <w:tcW w:w="22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3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508 West Wall, Suite 800</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b/>
          <w:sz w:val="20"/>
        </w:rPr>
        <w:t>Midland, Texas</w:t>
      </w:r>
      <w:r>
        <w:rPr>
          <w:rFonts w:ascii="Times New Roman;Times;serif" w:hAnsi="Times New Roman;Times;serif"/>
          <w:sz w:val="24"/>
        </w:rPr>
        <w:t xml:space="preserve"> </w:t>
      </w:r>
      <w:r>
        <w:rPr>
          <w:rFonts w:ascii="Times New Roman;Times;serif" w:hAnsi="Times New Roman;Times;serif"/>
          <w:b/>
          <w:sz w:val="20"/>
        </w:rPr>
        <w:t>79701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(432) 684-3000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 below):</w:t>
      </w:r>
    </w:p>
    <w:p>
      <w:pPr>
        <w:pStyle w:val="TextBody"/>
        <w:bidi w:val="0"/>
        <w:spacing w:before="0" w:after="0"/>
        <w:ind w:left="0" w:right="0" w:hanging="0"/>
        <w:jc w:val="left"/>
        <w:rPr/>
      </w:pPr>
      <w:r>
        <w:rPr/>
        <w:t> </w:t>
      </w:r>
    </w:p>
    <w:p>
      <w:pPr>
        <w:pStyle w:val="TextBody"/>
        <w:bidi w:val="0"/>
        <w:spacing w:before="0" w:after="0"/>
        <w:ind w:left="0" w:right="0" w:firstLine="36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firstLine="36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firstLine="36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1" w:name="Tc_zpCvEDoF-U-IJUb0C4RzbQ_1_4"/>
      <w:bookmarkStart w:id="12" w:name="Tc_3Fz_QeKfSEKY_Fwg3M9r_g_1_2"/>
      <w:bookmarkStart w:id="13" w:name="Tc_owmeyX1UmEecfFOpXsCrPw_1_0"/>
      <w:bookmarkStart w:id="14" w:name="_1e845a29_42f5_46c4_b4ed_57f4cf02458f"/>
      <w:bookmarkStart w:id="15" w:name="Tc_zpCvEDoF-U-IJUb0C4RzbQ_1_4"/>
      <w:bookmarkStart w:id="16" w:name="Tc_3Fz_QeKfSEKY_Fwg3M9r_g_1_2"/>
      <w:bookmarkStart w:id="17" w:name="Tc_owmeyX1UmEecfFOpXsCrPw_1_0"/>
      <w:bookmarkStart w:id="18" w:name="_1e845a29_42f5_46c4_b4ed_57f4cf02458f"/>
      <w:bookmarkEnd w:id="15"/>
      <w:bookmarkEnd w:id="16"/>
      <w:bookmarkEnd w:id="17"/>
      <w:bookmarkEnd w:id="18"/>
    </w:p>
    <w:tbl>
      <w:tblPr>
        <w:tblW w:w="7600" w:type="dxa"/>
        <w:jc w:val="left"/>
        <w:tblInd w:w="0" w:type="dxa"/>
        <w:tblLayout w:type="fixed"/>
        <w:tblCellMar>
          <w:top w:w="0" w:type="dxa"/>
          <w:left w:w="0" w:type="dxa"/>
          <w:bottom w:w="0" w:type="dxa"/>
          <w:right w:w="0" w:type="dxa"/>
        </w:tblCellMar>
      </w:tblPr>
      <w:tblGrid>
        <w:gridCol w:w="2821"/>
        <w:gridCol w:w="146"/>
        <w:gridCol w:w="1621"/>
        <w:gridCol w:w="146"/>
        <w:gridCol w:w="286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866" w:type="dxa"/>
            <w:tcBorders/>
            <w:vAlign w:val="center"/>
          </w:tcPr>
          <w:p>
            <w:pPr>
              <w:pStyle w:val="TableContents"/>
              <w:bidi w:val="0"/>
              <w:spacing w:before="0" w:after="283"/>
              <w:ind w:left="0" w:right="0" w:hanging="0"/>
              <w:jc w:val="left"/>
              <w:rPr>
                <w:sz w:val="4"/>
                <w:szCs w:val="4"/>
              </w:rPr>
            </w:pPr>
            <w:r>
              <w:rPr>
                <w:sz w:val="4"/>
                <w:szCs w:val="4"/>
              </w:rPr>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w:t>
              <w:br/>
              <w:t>registered</w:t>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46" w:type="dxa"/>
            <w:tcBorders/>
            <w:vAlign w:val="center"/>
          </w:tcPr>
          <w:p>
            <w:pPr>
              <w:pStyle w:val="TableContents"/>
              <w:bidi w:val="0"/>
              <w:spacing w:before="0" w:after="0"/>
              <w:ind w:left="0" w:right="0" w:hanging="0"/>
              <w:jc w:val="left"/>
              <w:rPr/>
            </w:pPr>
            <w:r>
              <w:rPr/>
              <w:t> </w:t>
            </w:r>
          </w:p>
        </w:tc>
        <w:tc>
          <w:tcPr>
            <w:tcW w:w="1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DWSN</w:t>
            </w:r>
          </w:p>
        </w:tc>
        <w:tc>
          <w:tcPr>
            <w:tcW w:w="146" w:type="dxa"/>
            <w:tcBorders/>
            <w:vAlign w:val="center"/>
          </w:tcPr>
          <w:p>
            <w:pPr>
              <w:pStyle w:val="TableContents"/>
              <w:bidi w:val="0"/>
              <w:spacing w:before="0" w:after="0"/>
              <w:ind w:left="0" w:right="0" w:hanging="0"/>
              <w:jc w:val="left"/>
              <w:rPr/>
            </w:pPr>
            <w:r>
              <w:rPr/>
              <w:t> </w:t>
            </w:r>
          </w:p>
        </w:tc>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NASDAQ Stock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9" w:name="_69676d2a_e450_4fec_a6cd_93ebcc73e91c"/>
      <w:bookmarkEnd w:id="19"/>
      <w:r>
        <w:rPr/>
        <w:t>​</w:t>
      </w:r>
    </w:p>
    <w:tbl>
      <w:tblPr>
        <w:tblW w:w="5057" w:type="dxa"/>
        <w:jc w:val="left"/>
        <w:tblInd w:w="0" w:type="dxa"/>
        <w:tblLayout w:type="fixed"/>
        <w:tblCellMar>
          <w:top w:w="0" w:type="dxa"/>
          <w:left w:w="0" w:type="dxa"/>
          <w:bottom w:w="0" w:type="dxa"/>
          <w:right w:w="0" w:type="dxa"/>
        </w:tblCellMar>
      </w:tblPr>
      <w:tblGrid>
        <w:gridCol w:w="961"/>
        <w:gridCol w:w="409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40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4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rFonts w:ascii="Times New Roman;Times;serif" w:hAnsi="Times New Roman;Times;serif"/>
          <w:sz w:val="20"/>
        </w:rPr>
      </w:pPr>
      <w:r>
        <w:rPr>
          <w:rFonts w:ascii="Times New Roman;Times;serif" w:hAnsi="Times New Roman;Times;serif"/>
          <w:sz w:val="20"/>
        </w:rPr>
        <w:t>On May 14, 2026, Dawson Geophysical Company (the “Company”) issued a press release reporting its preliminary and unaudited financial results for its first quarter ended March 31, 2026. A copy of the press release is furnished herewith as Exhibit 99.1.</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Limitation on Incorporation by Reference.</w:t>
      </w:r>
      <w:r>
        <w:rPr>
          <w:rFonts w:ascii="Times New Roman;Times;serif" w:hAnsi="Times New Roman;Times;serif"/>
          <w:sz w:val="20"/>
        </w:rPr>
        <w:t> The information furnished in this Item 2.02, including the press release attached hereto as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lineRule="auto" w:line="328" w:before="0" w:after="0"/>
        <w:ind w:left="0" w:right="302" w:firstLine="648"/>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b/>
          <w:i/>
          <w:sz w:val="20"/>
        </w:rPr>
        <w:t>Cautionary Note Regarding Forward-Looking Statements.</w:t>
      </w:r>
      <w:r>
        <w:rPr>
          <w:rFonts w:ascii="Times New Roman;Times;serif" w:hAnsi="Times New Roman;Times;serif"/>
          <w:sz w:val="20"/>
        </w:rPr>
        <w:t> Except for historical information contained in the press release attached as an exhibit hereto, the press release contains forward-looking statements that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lineRule="auto" w:line="328" w:before="0" w:after="0"/>
        <w:ind w:left="0" w:right="300" w:firstLine="648"/>
        <w:jc w:val="left"/>
        <w:rPr/>
      </w:pPr>
      <w:r>
        <w:rPr/>
        <w:t>​</w:t>
      </w:r>
    </w:p>
    <w:tbl>
      <w:tblPr>
        <w:tblW w:w="4037" w:type="dxa"/>
        <w:jc w:val="left"/>
        <w:tblInd w:w="0" w:type="dxa"/>
        <w:tblLayout w:type="fixed"/>
        <w:tblCellMar>
          <w:top w:w="0" w:type="dxa"/>
          <w:left w:w="0" w:type="dxa"/>
          <w:bottom w:w="0" w:type="dxa"/>
          <w:right w:w="0" w:type="dxa"/>
        </w:tblCellMar>
      </w:tblPr>
      <w:tblGrid>
        <w:gridCol w:w="961"/>
        <w:gridCol w:w="3076"/>
      </w:tblGrid>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30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283"/>
              <w:ind w:left="0" w:right="0" w:hanging="0"/>
              <w:jc w:val="left"/>
              <w:rPr>
                <w:sz w:val="4"/>
                <w:szCs w:val="4"/>
              </w:rPr>
            </w:pPr>
            <w:r>
              <w:rPr>
                <w:sz w:val="4"/>
                <w:szCs w:val="4"/>
              </w:rPr>
            </w:r>
          </w:p>
        </w:tc>
        <w:tc>
          <w:tcPr>
            <w:tcW w:w="3076" w:type="dxa"/>
            <w:tcBorders/>
            <w:vAlign w:val="center"/>
          </w:tcPr>
          <w:p>
            <w:pPr>
              <w:pStyle w:val="TableContents"/>
              <w:bidi w:val="0"/>
              <w:spacing w:before="0" w:after="283"/>
              <w:ind w:left="0" w:right="0" w:hanging="0"/>
              <w:jc w:val="left"/>
              <w:rPr>
                <w:sz w:val="4"/>
                <w:szCs w:val="4"/>
              </w:rPr>
            </w:pPr>
            <w:r>
              <w:rPr>
                <w:sz w:val="4"/>
                <w:szCs w:val="4"/>
              </w:rPr>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 and Exhibits.</w:t>
            </w:r>
          </w:p>
          <w:p>
            <w:pPr>
              <w:pStyle w:val="TableContents"/>
              <w:bidi w:val="0"/>
              <w:spacing w:before="0" w:after="0"/>
              <w:ind w:left="0" w:right="0" w:hanging="0"/>
              <w:jc w:val="left"/>
              <w:rPr/>
            </w:pPr>
            <w:r>
              <w:rPr/>
              <w:t>​</w:t>
            </w:r>
          </w:p>
        </w:tc>
      </w:tr>
    </w:tbl>
    <w:p>
      <w:pPr>
        <w:pStyle w:val="TextBody"/>
        <w:bidi w:val="0"/>
        <w:spacing w:before="100" w:after="100"/>
        <w:ind w:left="0" w:right="0" w:hanging="0"/>
        <w:jc w:val="left"/>
        <w:rPr/>
      </w:pPr>
      <w:r>
        <w:rPr/>
        <w:t>​</w:t>
      </w:r>
    </w:p>
    <w:p>
      <w:pPr>
        <w:pStyle w:val="TextBody"/>
        <w:bidi w:val="0"/>
        <w:spacing w:lineRule="auto" w:line="328" w:before="0" w:after="0"/>
        <w:ind w:left="0" w:right="300" w:firstLine="648"/>
        <w:jc w:val="left"/>
        <w:rPr/>
      </w:pPr>
      <w:r>
        <w:rPr/>
        <w:t>​</w:t>
      </w:r>
    </w:p>
    <w:p>
      <w:pPr>
        <w:pStyle w:val="TextBody"/>
        <w:bidi w:val="0"/>
        <w:spacing w:lineRule="auto" w:line="328" w:before="0" w:after="0"/>
        <w:ind w:left="0" w:right="300" w:hanging="0"/>
        <w:jc w:val="left"/>
        <w:rPr/>
      </w:pPr>
      <w:r>
        <w:rPr>
          <w:caps w:val="false"/>
          <w:smallCaps w:val="false"/>
        </w:rPr>
        <w:t> </w:t>
      </w:r>
      <w:r>
        <w:rPr>
          <w:rFonts w:ascii="Times New Roman;Times;serif" w:hAnsi="Times New Roman;Times;serif"/>
          <w:b/>
          <w:i w:val="false"/>
          <w:caps w:val="false"/>
          <w:smallCaps w:val="false"/>
          <w:sz w:val="20"/>
        </w:rPr>
        <w:t>(d)</w:t>
      </w:r>
      <w:r>
        <w:rPr>
          <w:rFonts w:ascii="Times New Roman;Times;serif" w:hAnsi="Times New Roman;Times;serif"/>
          <w:b/>
          <w:i/>
          <w:sz w:val="20"/>
        </w:rPr>
        <w:t>Exhibits.</w:t>
      </w:r>
    </w:p>
    <w:p>
      <w:pPr>
        <w:pStyle w:val="TextBody"/>
        <w:bidi w:val="0"/>
        <w:spacing w:lineRule="auto" w:line="328" w:before="0" w:after="0"/>
        <w:ind w:left="0" w:right="300" w:firstLine="648"/>
        <w:jc w:val="left"/>
        <w:rPr/>
      </w:pPr>
      <w:r>
        <w:rPr/>
        <w:t>​</w:t>
      </w:r>
    </w:p>
    <w:p>
      <w:pPr>
        <w:pStyle w:val="TextBody"/>
        <w:bidi w:val="0"/>
        <w:spacing w:before="100" w:after="100"/>
        <w:ind w:left="0" w:right="0" w:firstLine="720"/>
        <w:jc w:val="left"/>
        <w:rPr/>
      </w:pPr>
      <w:r>
        <w:rPr/>
        <w:t>​</w:t>
      </w:r>
    </w:p>
    <w:tbl>
      <w:tblPr>
        <w:tblW w:w="8417" w:type="dxa"/>
        <w:jc w:val="left"/>
        <w:tblInd w:w="0" w:type="dxa"/>
        <w:tblLayout w:type="fixed"/>
        <w:tblCellMar>
          <w:top w:w="0" w:type="dxa"/>
          <w:left w:w="0" w:type="dxa"/>
          <w:bottom w:w="0" w:type="dxa"/>
          <w:right w:w="0" w:type="dxa"/>
        </w:tblCellMar>
      </w:tblPr>
      <w:tblGrid>
        <w:gridCol w:w="1771"/>
        <w:gridCol w:w="664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top w:val="single" w:sz="8" w:space="0" w:color="000000"/>
              <w:left w:val="single" w:sz="8" w:space="0" w:color="000000"/>
              <w:bottom w:val="single" w:sz="8" w:space="0" w:color="000000"/>
              <w:right w:val="single" w:sz="8" w:space="0" w:color="000000"/>
            </w:tcBorders>
            <w:tcMar>
              <w:top w:w="28" w:type="dxa"/>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NUMBER</w:t>
            </w:r>
          </w:p>
        </w:tc>
        <w:tc>
          <w:tcPr>
            <w:tcW w:w="6646" w:type="dxa"/>
            <w:tcBorders>
              <w:top w:val="single" w:sz="8" w:space="0" w:color="000000"/>
              <w:bottom w:val="single" w:sz="8" w:space="0" w:color="000000"/>
              <w:right w:val="single" w:sz="8" w:space="0" w:color="000000"/>
            </w:tcBorders>
            <w:tcMar>
              <w:top w:w="2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pPr>
            <w:hyperlink w:anchor="dwsn-20260514xex99d1.htm">
              <w:r>
                <w:rPr>
                  <w:rStyle w:val="InternetLink"/>
                  <w:rFonts w:ascii="Times New Roman;Times;serif" w:hAnsi="Times New Roman;Times;serif"/>
                  <w:b w:val="false"/>
                  <w:i w:val="false"/>
                  <w:caps w:val="false"/>
                  <w:smallCaps w:val="false"/>
                  <w:sz w:val="24"/>
                </w:rPr>
                <w:t>99.1</w:t>
              </w:r>
            </w:hyperlink>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pPr>
            <w:hyperlink w:anchor="dwsn-20260514xex99d1.htm">
              <w:r>
                <w:rPr>
                  <w:rStyle w:val="InternetLink"/>
                  <w:rFonts w:ascii="Times New Roman;Times;serif" w:hAnsi="Times New Roman;Times;serif"/>
                  <w:b w:val="false"/>
                  <w:i w:val="false"/>
                  <w:caps w:val="false"/>
                  <w:smallCaps w:val="false"/>
                  <w:sz w:val="20"/>
                </w:rPr>
                <w:t>Press release dated May</w:t>
              </w:r>
            </w:hyperlink>
            <w:hyperlink w:anchor="dwsn-20260514xex99d1.htm">
              <w:r>
                <w:rPr>
                  <w:rStyle w:val="InternetLink"/>
                  <w:rFonts w:ascii="Times New Roman;Times;serif" w:hAnsi="Times New Roman;Times;serif"/>
                  <w:caps w:val="false"/>
                  <w:smallCaps w:val="false"/>
                  <w:sz w:val="20"/>
                </w:rPr>
                <w:t xml:space="preserve"> </w:t>
              </w:r>
            </w:hyperlink>
            <w:hyperlink w:anchor="dwsn-20260514xex99d1.htm">
              <w:r>
                <w:rPr>
                  <w:rStyle w:val="InternetLink"/>
                  <w:rFonts w:ascii="Times New Roman;Times;serif" w:hAnsi="Times New Roman;Times;serif"/>
                  <w:b w:val="false"/>
                  <w:i w:val="false"/>
                  <w:caps w:val="false"/>
                  <w:smallCaps w:val="false"/>
                  <w:sz w:val="20"/>
                </w:rPr>
                <w:t>14, 2026</w:t>
              </w:r>
            </w:hyperlink>
            <w:r>
              <w:rPr>
                <w:rFonts w:ascii="Times New Roman;Times;serif" w:hAnsi="Times New Roman;Times;serif"/>
                <w:sz w:val="20"/>
              </w:rPr>
              <w:t xml:space="preserve"> </w:t>
            </w:r>
          </w:p>
        </w:tc>
      </w:tr>
      <w:tr>
        <w:trPr/>
        <w:tc>
          <w:tcPr>
            <w:tcW w:w="1771" w:type="dxa"/>
            <w:tcBorders>
              <w:left w:val="single" w:sz="8" w:space="0" w:color="000000"/>
              <w:bottom w:val="single" w:sz="8" w:space="0" w:color="000000"/>
              <w:right w:val="single" w:sz="8" w:space="0" w:color="000000"/>
            </w:tcBorders>
            <w:tcMar>
              <w:left w:w="98" w:type="dxa"/>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46" w:type="dxa"/>
            <w:tcBorders>
              <w:bottom w:val="single" w:sz="8" w:space="0" w:color="000000"/>
              <w:right w:val="single" w:sz="8" w:space="0" w:color="000000"/>
            </w:tcBorders>
            <w:tcMar>
              <w:bottom w:w="28" w:type="dxa"/>
              <w:right w:w="9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100" w:after="100"/>
        <w:ind w:left="0" w:right="0" w:firstLine="72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8" w:before="0" w:after="0"/>
        <w:ind w:left="0" w:right="30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 w:name="_cb2bb94d_08c4_443b_a76b_784fae342b12"/>
      <w:bookmarkEnd w:id="20"/>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lineRule="auto" w:line="328" w:before="0" w:after="0"/>
        <w:ind w:left="0" w:right="302" w:firstLine="648"/>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 </w:t>
      </w:r>
    </w:p>
    <w:tbl>
      <w:tblPr>
        <w:tblW w:w="5086" w:type="dxa"/>
        <w:jc w:val="left"/>
        <w:tblInd w:w="0" w:type="dxa"/>
        <w:tblLayout w:type="fixed"/>
        <w:tblCellMar>
          <w:top w:w="0" w:type="dxa"/>
          <w:left w:w="0" w:type="dxa"/>
          <w:bottom w:w="0" w:type="dxa"/>
          <w:right w:w="0" w:type="dxa"/>
        </w:tblCellMar>
      </w:tblPr>
      <w:tblGrid>
        <w:gridCol w:w="1741"/>
        <w:gridCol w:w="562"/>
        <w:gridCol w:w="278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105535" cy="29210"/>
                      <wp:effectExtent l="0" t="0" r="0" b="0"/>
                      <wp:wrapNone/>
                      <wp:docPr id="1" name="Frame1"/>
                      <a:graphic xmlns:a="http://schemas.openxmlformats.org/drawingml/2006/main">
                        <a:graphicData uri="http://schemas.microsoft.com/office/word/2010/wordprocessingShape">
                          <wps:wsp>
                            <wps:cNvSpPr txBox="1"/>
                            <wps:spPr>
                              <a:xfrm>
                                <a:off x="0" y="0"/>
                                <a:ext cx="1105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56870" cy="29210"/>
                      <wp:effectExtent l="0" t="0" r="0" b="0"/>
                      <wp:wrapNone/>
                      <wp:docPr id="2" name="Frame2"/>
                      <a:graphic xmlns:a="http://schemas.openxmlformats.org/drawingml/2006/main">
                        <a:graphicData uri="http://schemas.microsoft.com/office/word/2010/wordprocessingShape">
                          <wps:wsp>
                            <wps:cNvSpPr txBox="1"/>
                            <wps:spPr>
                              <a:xfrm>
                                <a:off x="0" y="0"/>
                                <a:ext cx="3568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67205" cy="29210"/>
                      <wp:effectExtent l="0" t="0" r="0" b="0"/>
                      <wp:wrapNone/>
                      <wp:docPr id="3" name="Frame3"/>
                      <a:graphic xmlns:a="http://schemas.openxmlformats.org/drawingml/2006/main">
                        <a:graphicData uri="http://schemas.microsoft.com/office/word/2010/wordprocessingShape">
                          <wps:wsp>
                            <wps:cNvSpPr txBox="1"/>
                            <wps:spPr>
                              <a:xfrm>
                                <a:off x="0" y="0"/>
                                <a:ext cx="17672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tc>
      </w:tr>
      <w:tr>
        <w:trPr/>
        <w:tc>
          <w:tcPr>
            <w:tcW w:w="174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3345" w:type="dxa"/>
            <w:gridSpan w:val="2"/>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14, 2026</w:t>
            </w:r>
          </w:p>
        </w:tc>
        <w:tc>
          <w:tcPr>
            <w:tcW w:w="5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8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Ian Shaw</w:t>
            </w:r>
          </w:p>
        </w:tc>
      </w:tr>
      <w:tr>
        <w:trPr/>
        <w:tc>
          <w:tcPr>
            <w:tcW w:w="174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Ian Shaw</w:t>
            </w:r>
          </w:p>
        </w:tc>
      </w:tr>
      <w:tr>
        <w:trPr/>
        <w:tc>
          <w:tcPr>
            <w:tcW w:w="1741" w:type="dxa"/>
            <w:tcBorders/>
            <w:vAlign w:val="center"/>
          </w:tcPr>
          <w:p>
            <w:pPr>
              <w:pStyle w:val="TableContents"/>
              <w:bidi w:val="0"/>
              <w:spacing w:before="0" w:after="0"/>
              <w:ind w:left="0" w:right="0" w:hanging="0"/>
              <w:jc w:val="left"/>
              <w:rPr/>
            </w:pPr>
            <w:r>
              <w:rPr/>
              <w:t> </w:t>
            </w:r>
          </w:p>
        </w:tc>
        <w:tc>
          <w:tcPr>
            <w:tcW w:w="562" w:type="dxa"/>
            <w:tcBorders/>
            <w:vAlign w:val="center"/>
          </w:tcPr>
          <w:p>
            <w:pPr>
              <w:pStyle w:val="TableContents"/>
              <w:bidi w:val="0"/>
              <w:spacing w:before="0" w:after="0"/>
              <w:ind w:left="0" w:right="0" w:hanging="0"/>
              <w:jc w:val="left"/>
              <w:rPr/>
            </w:pPr>
            <w:r>
              <w:rPr/>
              <w:t> </w:t>
            </w:r>
          </w:p>
        </w:tc>
        <w:tc>
          <w:tcPr>
            <w:tcW w:w="27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100" w:after="100"/>
        <w:ind w:left="0" w:right="0" w:hanging="0"/>
        <w:jc w:val="right"/>
        <w:rPr/>
      </w:pPr>
      <w:r>
        <w:rPr/>
        <w:t>​</w:t>
      </w:r>
    </w:p>
    <w:p>
      <w:pPr>
        <w:pStyle w:val="TextBody"/>
        <w:bidi w:val="0"/>
        <w:spacing w:before="0" w:after="0"/>
        <w:ind w:left="0" w:right="0" w:hanging="0"/>
        <w:jc w:val="righ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lineRule="auto" w:line="285" w:before="0" w:after="0"/>
        <w:ind w:left="0" w:right="0" w:hanging="0"/>
        <w:jc w:val="left"/>
        <w:rPr/>
      </w:pPr>
      <w:bookmarkStart w:id="21" w:name="dwsn-20260514xex99d1.htm"/>
      <w:bookmarkStart w:id="22" w:name="ksdwsn20260514xex99d1"/>
      <w:bookmarkEnd w:id="21"/>
      <w:bookmarkEnd w:id="22"/>
      <w:r>
        <w:rPr/>
        <w:t>​</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lineRule="auto" w:line="285" w:before="0" w:after="0"/>
        <w:ind w:left="0" w:right="0" w:hanging="0"/>
        <w:jc w:val="left"/>
        <w:rPr/>
      </w:pPr>
      <w:r>
        <w:rPr/>
        <w:t>​</w:t>
      </w:r>
    </w:p>
    <w:tbl>
      <w:tblPr>
        <w:tblW w:w="5326" w:type="dxa"/>
        <w:jc w:val="left"/>
        <w:tblInd w:w="0" w:type="dxa"/>
        <w:tblLayout w:type="fixed"/>
        <w:tblCellMar>
          <w:top w:w="0" w:type="dxa"/>
          <w:left w:w="0" w:type="dxa"/>
          <w:bottom w:w="0" w:type="dxa"/>
          <w:right w:w="0" w:type="dxa"/>
        </w:tblCellMar>
      </w:tblPr>
      <w:tblGrid>
        <w:gridCol w:w="2671"/>
        <w:gridCol w:w="1250"/>
        <w:gridCol w:w="1251"/>
        <w:gridCol w:w="154"/>
      </w:tblGrid>
      <w:tr>
        <w:trPr/>
        <w:tc>
          <w:tcPr>
            <w:tcW w:w="3921" w:type="dxa"/>
            <w:gridSpan w:val="2"/>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405" w:type="dxa"/>
            <w:gridSpan w:val="2"/>
            <w:tcBorders/>
            <w:vAlign w:val="center"/>
          </w:tcPr>
          <w:p>
            <w:pPr>
              <w:pStyle w:val="TableContents"/>
              <w:bidi w:val="0"/>
              <w:spacing w:lineRule="auto" w:line="285" w:before="0" w:after="0"/>
              <w:ind w:left="0" w:right="0" w:hanging="0"/>
              <w:jc w:val="left"/>
              <w:rPr/>
            </w:pPr>
            <w:r>
              <w:rPr/>
              <w:t>​</w:t>
            </w:r>
          </w:p>
        </w:tc>
      </w:tr>
      <w:tr>
        <w:trPr/>
        <w:tc>
          <w:tcPr>
            <w:tcW w:w="2671" w:type="dxa"/>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NEWS RELEASE</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Dawson Geophysical Company</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508 W. Wall, Suite 800 </w:t>
            </w:r>
          </w:p>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Midland, TX 79701 </w:t>
            </w:r>
          </w:p>
        </w:tc>
        <w:tc>
          <w:tcPr>
            <w:tcW w:w="2501" w:type="dxa"/>
            <w:gridSpan w:val="2"/>
            <w:tcBorders/>
            <w:vAlign w:val="center"/>
          </w:tcPr>
          <w:p>
            <w:pPr>
              <w:pStyle w:val="TableContents"/>
              <w:bidi w:val="0"/>
              <w:spacing w:lineRule="auto" w:line="328" w:before="0" w:after="0"/>
              <w:ind w:left="0" w:right="0" w:hanging="0"/>
              <w:jc w:val="right"/>
              <w:rPr/>
            </w:pPr>
            <w:r>
              <w:rPr/>
              <w:drawing>
                <wp:inline distT="0" distB="0" distL="0" distR="0">
                  <wp:extent cx="1533525" cy="790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790575"/>
                          </a:xfrm>
                          <a:prstGeom prst="rect">
                            <a:avLst/>
                          </a:prstGeom>
                        </pic:spPr>
                      </pic:pic>
                    </a:graphicData>
                  </a:graphic>
                </wp:inline>
              </w:drawing>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Company contact:</w:t>
      </w:r>
    </w:p>
    <w:tbl>
      <w:tblPr>
        <w:tblW w:w="2851" w:type="dxa"/>
        <w:jc w:val="center"/>
        <w:tblInd w:w="0" w:type="dxa"/>
        <w:tblLayout w:type="fixed"/>
        <w:tblCellMar>
          <w:top w:w="0" w:type="dxa"/>
          <w:left w:w="0" w:type="dxa"/>
          <w:bottom w:w="0" w:type="dxa"/>
          <w:right w:w="0" w:type="dxa"/>
        </w:tblCellMar>
      </w:tblPr>
      <w:tblGrid>
        <w:gridCol w:w="285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Tony Clark, CEO and President</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Ian Shaw, Chief Financial Officer</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(800) 332-9766</w:t>
            </w:r>
          </w:p>
        </w:tc>
      </w:tr>
      <w:tr>
        <w:trPr/>
        <w:tc>
          <w:tcPr>
            <w:tcW w:w="285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www.dawson3d.com</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REPORTS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FIRST QUARTER 2026 RESULTS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MIDLAND, Texas, May 14, 2026/PR Newswire/Dawson Geophysical Company (NASDAQ: DWSN) (the “Company”) today reported </w:t>
      </w:r>
      <w:r>
        <w:rPr>
          <w:rFonts w:ascii="Times New Roman" w:hAnsi="Times New Roman"/>
          <w:sz w:val="20"/>
        </w:rPr>
        <w:t>unaudited financial results for its first quarter ended March 31,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font-weight:bold" w:hAnsi="Times New Roman;font-weight:bold"/>
          <w:b/>
          <w:sz w:val="20"/>
        </w:rPr>
      </w:pPr>
      <w:r>
        <w:rPr>
          <w:rFonts w:ascii="Times New Roman;font-weight:bold" w:hAnsi="Times New Roman;font-weight:bold"/>
          <w:b/>
          <w:sz w:val="20"/>
        </w:rPr>
        <w:t>First quarter 2026 Highlights</w:t>
      </w:r>
    </w:p>
    <w:p>
      <w:pPr>
        <w:pStyle w:val="TextBody"/>
        <w:bidi w:val="0"/>
        <w:spacing w:lineRule="auto" w:line="285" w:before="0" w:after="0"/>
        <w:ind w:left="0" w:right="0" w:hanging="0"/>
        <w:jc w:val="left"/>
        <w:rPr/>
      </w:pPr>
      <w:r>
        <w:rPr/>
        <w:t>​</w:t>
      </w:r>
    </w:p>
    <w:tbl>
      <w:tblPr>
        <w:tblW w:w="7398" w:type="dxa"/>
        <w:jc w:val="left"/>
        <w:tblInd w:w="0" w:type="dxa"/>
        <w:tblLayout w:type="fixed"/>
        <w:tblCellMar>
          <w:top w:w="0" w:type="dxa"/>
          <w:left w:w="0" w:type="dxa"/>
          <w:bottom w:w="0" w:type="dxa"/>
          <w:right w:w="0" w:type="dxa"/>
        </w:tblCellMar>
      </w:tblPr>
      <w:tblGrid>
        <w:gridCol w:w="23"/>
        <w:gridCol w:w="170"/>
        <w:gridCol w:w="72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fee revenue of $32.5 million, an 113% increase over the first quarter of 2025</w:t>
            </w:r>
          </w:p>
        </w:tc>
      </w:tr>
    </w:tbl>
    <w:tbl>
      <w:tblPr>
        <w:tblW w:w="3723" w:type="dxa"/>
        <w:jc w:val="left"/>
        <w:tblInd w:w="0" w:type="dxa"/>
        <w:tblLayout w:type="fixed"/>
        <w:tblCellMar>
          <w:top w:w="0" w:type="dxa"/>
          <w:left w:w="0" w:type="dxa"/>
          <w:bottom w:w="0" w:type="dxa"/>
          <w:right w:w="0" w:type="dxa"/>
        </w:tblCellMar>
      </w:tblPr>
      <w:tblGrid>
        <w:gridCol w:w="23"/>
        <w:gridCol w:w="170"/>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of $7.7 million, $0.25 per share</w:t>
            </w:r>
          </w:p>
        </w:tc>
      </w:tr>
    </w:tbl>
    <w:tbl>
      <w:tblPr>
        <w:tblW w:w="7848" w:type="dxa"/>
        <w:jc w:val="left"/>
        <w:tblInd w:w="0" w:type="dxa"/>
        <w:tblLayout w:type="fixed"/>
        <w:tblCellMar>
          <w:top w:w="0" w:type="dxa"/>
          <w:left w:w="0" w:type="dxa"/>
          <w:bottom w:w="0" w:type="dxa"/>
          <w:right w:w="0" w:type="dxa"/>
        </w:tblCellMar>
      </w:tblPr>
      <w:tblGrid>
        <w:gridCol w:w="23"/>
        <w:gridCol w:w="170"/>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Generated Adjusted EBITDA of $10.9 million, an 364% increase over the first quarter of 2025 </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Adjusted EBITDA is a non-GAAP measure. See “Supplemental Non-GAAP Financial Measures” below for our definition and reconciliation of Adjusted EBITDA.</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Management Comment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Tony Clark, Dawson’s President and CEO, commented, “We received our final delivery of the single node channels at the beginning of the year, and all of the new equipment purchased was fully utilized throughout the first quarter in our operations in the United States and Canada. Additionally, we had three additional crews deployed with our legacy equipment in the first quarter. High equipment utilization resulted in significant growth in our revenues and net income. We are continuing to identify areas of improvement in the deployment of the new single node channels, and we expect that to result in further operational efficiencies in the future. Our financial performance in the first quarter shows the opportunity currently available for this Company, and we believe that we are positioned to capitalize on that opportunity.”</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First Quarter Results</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 the first quarter ended March 31, 2026, the Company reported revenues of $36.7 million, an increase of 128% compared to $16.1 million for the comparable quarter ended March 31, 2025. Revenue included reimbursable revenue of $4.2 million and $0.8 million for the quarters ended March 31, 2026, and March 31, 2025, respectively. Gross margin</w:t>
      </w:r>
      <w:r>
        <w:rPr>
          <w:rFonts w:ascii="Times New Roman;Times;serif" w:hAnsi="Times New Roman;Times;serif"/>
          <w:sz w:val="15"/>
        </w:rPr>
        <w:t>1</w:t>
      </w:r>
      <w:r>
        <w:rPr>
          <w:rFonts w:ascii="Times New Roman;Times;serif" w:hAnsi="Times New Roman;Times;serif"/>
          <w:sz w:val="20"/>
        </w:rPr>
        <w:t xml:space="preserve"> for the quarter ended March 31, 2026, was 40% compared to 28% for the comparable quarter ended March 31, 2025.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We generated net income of $7.7 million or $0.25 per common share and generated Adjusted EBITDA of $10.9 million in the quarter ended March 31, 2026, compared to Adjusted EBITDA of $2.3 million in the quarter ended March 31, 2025.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Defined as fee revenues less fee operating expenses, divided by fee revenues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Operations Update</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 Company had one large channel crew and three smaller channel crews operating in the first quarter in the United States. Our seasonal operations had solid performance in the first quarter, and their operations continued into the second quarter of 2026. High crew utilization in the first quarter resulted in improved margins and profitability. We continue to schedule and bid larger channel count jobs due to our significant inventory of the new single node channels. Additionally, we have seen an increase in activity related to non-traditional seismic exploration including geothermal Carbon Capture Utilization and Storage (“CCUS”) seismic monitoring, and other rare minerals.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Capital Budget and Liquidity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The Company's Board of Directors approved a capital budget of $3 million for 2026, including the final payment under the single node purchase of $0.9 million, which was made in January 2026. </w:t>
      </w:r>
    </w:p>
    <w:p>
      <w:pPr>
        <w:pStyle w:val="TextBody"/>
        <w:bidi w:val="0"/>
        <w:spacing w:lineRule="auto" w:line="285" w:before="28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2026, our cash position was $1.4 million, our working capital position improved to $0.4 million compared to a deficit of $5 million at December 31, 2025, and our credit facility had no balance outstanding with a borrowing base of $4.5 million. We believe that our cash on hand, operating cash flows and cash available under our revolving credit facility are sufficient to fund our cash flow requirements as well as our debt obligations. </w:t>
      </w:r>
    </w:p>
    <w:p>
      <w:pPr>
        <w:pStyle w:val="TextBody"/>
        <w:bidi w:val="0"/>
        <w:spacing w:lineRule="auto" w:line="285" w:before="280" w:after="0"/>
        <w:ind w:left="0" w:right="0" w:hanging="0"/>
        <w:jc w:val="left"/>
        <w:rPr>
          <w:rFonts w:ascii="Times New Roman;Times;serif" w:hAnsi="Times New Roman;Times;serif"/>
          <w:b/>
          <w:sz w:val="20"/>
        </w:rPr>
      </w:pPr>
      <w:r>
        <w:rPr>
          <w:rFonts w:ascii="Times New Roman;Times;serif" w:hAnsi="Times New Roman;Times;serif"/>
          <w:b/>
          <w:sz w:val="20"/>
        </w:rPr>
        <w:t>About Dawson</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Dawson Geophysical Company is a leading provider of North American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an effort to provide investors with additional information regarding the Company’s preliminary and unaudited results as determined by generally accepted accounting principles (“GAAP”), the Company has included in this press release information about the Company’s Adjusted EBITDA, a non-GAAP financial measure as defined by Regulation G promulgated by the U.S. Securities and Exchange Commission. The Company defines adjusted EBITDA as our net income, before (i) interest expense, net, (ii) income tax expense or benefit, (iii) depreciation and amortization and (iv) non-recurring and other charges, such as strategic transaction costs or severance expenses. The Company uses Adjusted EBITDA as a supplemental financial measure to assess:</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181"/>
        <w:gridCol w:w="9863"/>
      </w:tblGrid>
      <w:tr>
        <w:trPr/>
        <w:tc>
          <w:tcPr>
            <w:tcW w:w="16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6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financial performance of its assets without regard to financing methods, capital structures, taxes or historical cost basis;</w:t>
            </w:r>
          </w:p>
        </w:tc>
      </w:tr>
    </w:tbl>
    <w:p>
      <w:pPr>
        <w:pStyle w:val="TextBody"/>
        <w:bidi w:val="0"/>
        <w:spacing w:lineRule="auto" w:line="285"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1"/>
        <w:gridCol w:w="181"/>
        <w:gridCol w:w="9863"/>
      </w:tblGrid>
      <w:tr>
        <w:trPr/>
        <w:tc>
          <w:tcPr>
            <w:tcW w:w="16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863"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its liquidity and operating performance over time in relation to other companies that own similar assets and that the Company believes calculate EBITDA in a similar manner; and</w:t>
            </w:r>
          </w:p>
        </w:tc>
      </w:tr>
    </w:tbl>
    <w:p>
      <w:pPr>
        <w:pStyle w:val="TextBody"/>
        <w:bidi w:val="0"/>
        <w:spacing w:lineRule="auto" w:line="285" w:before="0" w:after="0"/>
        <w:ind w:left="0" w:right="0" w:hanging="0"/>
        <w:jc w:val="left"/>
        <w:rPr/>
      </w:pPr>
      <w:r>
        <w:rPr/>
        <w:t> </w:t>
      </w:r>
    </w:p>
    <w:tbl>
      <w:tblPr>
        <w:tblW w:w="9373" w:type="dxa"/>
        <w:jc w:val="left"/>
        <w:tblInd w:w="0" w:type="dxa"/>
        <w:tblLayout w:type="fixed"/>
        <w:tblCellMar>
          <w:top w:w="0" w:type="dxa"/>
          <w:left w:w="0" w:type="dxa"/>
          <w:bottom w:w="0" w:type="dxa"/>
          <w:right w:w="0" w:type="dxa"/>
        </w:tblCellMar>
      </w:tblPr>
      <w:tblGrid>
        <w:gridCol w:w="161"/>
        <w:gridCol w:w="181"/>
        <w:gridCol w:w="9031"/>
      </w:tblGrid>
      <w:tr>
        <w:trPr/>
        <w:tc>
          <w:tcPr>
            <w:tcW w:w="161" w:type="dxa"/>
            <w:tcBorders/>
            <w:vAlign w:val="center"/>
          </w:tcPr>
          <w:p>
            <w:pPr>
              <w:pStyle w:val="TableContents"/>
              <w:bidi w:val="0"/>
              <w:spacing w:lineRule="auto" w:line="328" w:before="0" w:after="0"/>
              <w:ind w:left="0" w:right="0" w:hanging="0"/>
              <w:jc w:val="left"/>
              <w:rPr/>
            </w:pPr>
            <w:r>
              <w:rPr/>
              <w:t> </w:t>
            </w:r>
          </w:p>
        </w:tc>
        <w:tc>
          <w:tcPr>
            <w:tcW w:w="181" w:type="dxa"/>
            <w:tcBorders/>
            <w:vAlign w:val="center"/>
          </w:tcPr>
          <w:p>
            <w:pPr>
              <w:pStyle w:val="TableContents"/>
              <w:bidi w:val="0"/>
              <w:spacing w:lineRule="auto" w:line="328" w:before="0" w:after="0"/>
              <w:ind w:left="0" w:right="0" w:hanging="0"/>
              <w:jc w:val="left"/>
              <w:rPr>
                <w:rFonts w:ascii="Symbol" w:hAnsi="Symbol"/>
                <w:sz w:val="20"/>
              </w:rPr>
            </w:pPr>
            <w:r>
              <w:rPr>
                <w:rFonts w:ascii="Symbol" w:hAnsi="Symbol"/>
                <w:sz w:val="20"/>
              </w:rPr>
              <w:t>·</w:t>
            </w:r>
          </w:p>
        </w:tc>
        <w:tc>
          <w:tcPr>
            <w:tcW w:w="90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the ability of the Company’s assets to generate cash sufficient for the Company to pay potential interest costs.</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also understands that such data are used by investors to assess the Company’s performance. However, the term Adjusted EBITDA is not defined under GAAP, and Adjusted EBITDA is not a measure of operating income or operating performance presented in accordance with GAAP. When assessing the Company’s operating performance, investors and others should not consider this data in isolation or as a substitute for net income, cash flow from operating activities or other cash flow data calculated in accordance with GAAP. In addition, the Company’s Adjusted EBITDA may not be comparable to Adjusted EBITDA or similarly titled measures utilized by other companies since other companies may not calculate Adjusted EBITDA in the same manner as the Company. Further, the results presented by Adjusted EBITDA cannot be achieved without incurring the costs that the measure excludes: interest, taxes, and depreciation and amortization. A reconciliation of the Company’s Adjusted EBITDA to its net loss is presented in the table following the text of this press release.</w:t>
      </w:r>
    </w:p>
    <w:p>
      <w:pPr>
        <w:pStyle w:val="TextBody"/>
        <w:bidi w:val="0"/>
        <w:spacing w:lineRule="auto" w:line="285" w:before="100" w:after="10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accordance with the Safe Harbor provisions of the Private Securities Litigation Reform Act of 1995, the Company cautions that all statements other than statements of historical fact contained in this press release are forward-looking statements, including without limitation statements regarding our forecasts, estimates or other expectations regarding future events, operations or financial results, and regarding technological advancements and our financial position, business strategy, and plans and objectives of our management including statements under “Management Comment” for future operations; statements regarding our expectations regarding liquidity; statements regarding the anticipated benefits of our purchased single node channels; statements regarding our ability to identify areas of improvement in the deployment of the new single node channels and the expected operational efficiencies resulting therefrom; statements regarding our financial performance and our ability to capitalize on current market opportunities; and statements regarding any potential transaction(s) with our controlling stockholder and any of its affiliates. In some cases, you can identify forward-looking statements by terms such as “aim,” “may,” “will,” “should,” “expects,” “plans,” “anticipates,” “continues,” “could,” “intends,” “goals,” “target,” “projects,” “contemplates,” “believes,” “estimates,” “predicts” or “potential” or the negative of these terms or other similar expressions. Such forward-looking statements are based on the beliefs of our management, as well as assumptions made by and information currently available to management. Actual results could differ materially from those contemplated by the forward-looking statements as a result of certain factors. These factors include, but are not limited to, risks relating to the Company’s ability to execute its business strategies and plans for growth; the efficacy of the purchased single node channels; the failure to operationalize the acquired equipment in a timely manner or at all; risks associated with the Company’s ability to finance the transaction contemplated by the Purchase Agreement; risks relating to any potential transaction(s) with our controlling stockholder and any of its affiliates, the impact on our stock price of such potential transaction(s), our ability to consummate any such transaction, and our ability to achieve the anticipated benefits of any such potential transaction(s); our status as a controlled public company, which exempts us from certain corporate governance requirements; the limited market for our common stock; the impact of general economic, industry, market or political conditions, including tariffs; dependence upon energy industry spending; changes in exploration and production spending by our customers and changes in the level of oil and natural gas exploration and development; the results of operations and financial condition of our customers, particularly during extended periods of low prices for crude oil and natural gas; the volatility of oil and natural gas prices and markets; changes in economic conditions; surplus in the supply of oil and the ability of the Organization of the Petroleum Exporting Countries and its allies, collectively known as OPEC+, to agree on and comply with supply limitations; the potential for contract delays; reductions or cancellations of service contracts; limited number of customers; credit risk related to our customers; reduced utilization; high fixed costs of operations and high capital requirements; industry competition; external factors affecting the Company’s crews such as weather interruptions and inability to obtain land access rights of way; whether the Company enters into turnkey or day rate contracts; crew productivity;  risks that the Company’s cash reserves, liquidity or capital resources may be insufficient;  risks associated with the identification of suitable acquisition candidates and the successful, efficient execution of acquisition transactions, the integration of any such acquisition candidates, the value of those acquisitions to our customers and shareholders, and the financing of such acquisitions; risks related to our indebtedness and compliance with covenants contained in our revolving credit note; the Company’s ability to execute its business strategies and plans for growth; the failure to operationalize the new single node channels in a timely manner or at all; the risk that expected improvements in deployment of the new single node channels may not result in anticipated operational efficiencies or improved operating and financial performance; disruptions in the global economy, including the Russian-Ukrainian conflict, the U.S. and Iran conflict, and the unrest in the Middle East, export controls and financial and economic sanctions imposed on certain industry sectors and parties as a result of the developments and broader consequences of the Russian-Ukrainian conflict, the U.S. and Iran conflict, and the unrest in the Middle East related activities, and whether or not a future transaction or other action occurs that causes the Company to be delisted from Nasdaq and no longer be required to make filings with the Securities and Exchange Commission (the “SEC”). The cautionary statements made in this press release should be read as applying to all related forward-looking statements wherever they appear in this press release. All subsequent written and oral forward-looking statements attributable to us or persons acting on our behalf are expressly qualified in their entirety by this paragraph. The Company disclaims any intention or obligation to revise any forward-looking statements, whether as a result of new information, future events or otherwise.</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 AND COMPREHENSIVE INCOME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and per share data)</w:t>
      </w:r>
    </w:p>
    <w:p>
      <w:pPr>
        <w:pStyle w:val="TextBody"/>
        <w:bidi w:val="0"/>
        <w:spacing w:lineRule="auto" w:line="285" w:before="0" w:after="0"/>
        <w:ind w:left="0" w:right="0" w:hanging="0"/>
        <w:jc w:val="center"/>
        <w:rPr/>
      </w:pPr>
      <w:r>
        <w:rPr/>
        <w:t>​</w:t>
      </w:r>
    </w:p>
    <w:tbl>
      <w:tblPr>
        <w:tblW w:w="9236" w:type="dxa"/>
        <w:jc w:val="left"/>
        <w:tblInd w:w="0" w:type="dxa"/>
        <w:tblLayout w:type="fixed"/>
        <w:tblCellMar>
          <w:top w:w="0" w:type="dxa"/>
          <w:left w:w="0" w:type="dxa"/>
          <w:bottom w:w="0" w:type="dxa"/>
          <w:right w:w="0" w:type="dxa"/>
        </w:tblCellMar>
      </w:tblPr>
      <w:tblGrid>
        <w:gridCol w:w="6076"/>
        <w:gridCol w:w="346"/>
        <w:gridCol w:w="200"/>
        <w:gridCol w:w="935"/>
        <w:gridCol w:w="353"/>
        <w:gridCol w:w="200"/>
        <w:gridCol w:w="935"/>
        <w:gridCol w:w="19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858260" cy="175260"/>
                      <wp:effectExtent l="0" t="0" r="0" b="0"/>
                      <wp:wrapNone/>
                      <wp:docPr id="5" name="Frame4"/>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7000" cy="175260"/>
                      <wp:effectExtent l="0" t="0" r="0" b="0"/>
                      <wp:wrapNone/>
                      <wp:docPr id="7" name="Frame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93725" cy="175260"/>
                      <wp:effectExtent l="0" t="0" r="0" b="0"/>
                      <wp:wrapNone/>
                      <wp:docPr id="8" name="Frame7"/>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4155" cy="175260"/>
                      <wp:effectExtent l="0" t="0" r="0" b="0"/>
                      <wp:wrapNone/>
                      <wp:docPr id="9" name="Frame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7000" cy="175260"/>
                      <wp:effectExtent l="0" t="0" r="0" b="0"/>
                      <wp:wrapNone/>
                      <wp:docPr id="10" name="Frame9"/>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93725" cy="175260"/>
                      <wp:effectExtent l="0" t="0" r="0" b="0"/>
                      <wp:wrapNone/>
                      <wp:docPr id="11" name="Frame10"/>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285" cy="175260"/>
                      <wp:effectExtent l="0" t="0" r="0" b="0"/>
                      <wp:wrapNone/>
                      <wp:docPr id="12"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53" w:type="dxa"/>
            <w:tcBorders/>
            <w:vAlign w:val="center"/>
          </w:tcPr>
          <w:p>
            <w:pPr>
              <w:pStyle w:val="TableContents"/>
              <w:bidi w:val="0"/>
              <w:spacing w:lineRule="auto" w:line="285"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32,508</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36,699</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16,078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19,430</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10,960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23,621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11,779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2,941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28,559</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15,044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8,140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1,034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 </w:t>
            </w:r>
          </w:p>
        </w:tc>
        <w:tc>
          <w:tcPr>
            <w:tcW w:w="93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before income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 </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vAlign w:val="center"/>
          </w:tcPr>
          <w:p>
            <w:pPr>
              <w:pStyle w:val="TableContents"/>
              <w:bidi w:val="0"/>
              <w:spacing w:lineRule="auto" w:line="285" w:before="0" w:after="0"/>
              <w:ind w:left="0" w:right="0" w:hanging="0"/>
              <w:jc w:val="left"/>
              <w:rPr/>
            </w:pPr>
            <w:r>
              <w:rPr/>
              <w:t>​</w:t>
            </w:r>
          </w:p>
        </w:tc>
        <w:tc>
          <w:tcPr>
            <w:tcW w:w="935"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3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962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Basic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Diluted income per share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0.25</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31,052,840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30,983,445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07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00" w:type="dxa"/>
            <w:tcBorders/>
            <w:shd w:fill="CCEEFF" w:val="clear"/>
            <w:vAlign w:val="center"/>
          </w:tcPr>
          <w:p>
            <w:pPr>
              <w:pStyle w:val="TableContents"/>
              <w:bidi w:val="0"/>
              <w:spacing w:lineRule="auto" w:line="285" w:before="0" w:after="0"/>
              <w:ind w:left="0" w:right="0" w:hanging="0"/>
              <w:jc w:val="left"/>
              <w:rPr/>
            </w:pPr>
            <w:r>
              <w:rPr/>
              <w:t>​</w:t>
            </w:r>
          </w:p>
        </w:tc>
        <w:tc>
          <w:tcPr>
            <w:tcW w:w="935"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07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equivalent common shares outstanding - assuming dilution</w:t>
            </w:r>
          </w:p>
        </w:tc>
        <w:tc>
          <w:tcPr>
            <w:tcW w:w="346"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31,107,820</w:t>
            </w:r>
          </w:p>
        </w:tc>
        <w:tc>
          <w:tcPr>
            <w:tcW w:w="353" w:type="dxa"/>
            <w:tcBorders/>
            <w:vAlign w:val="center"/>
          </w:tcPr>
          <w:p>
            <w:pPr>
              <w:pStyle w:val="TableContents"/>
              <w:bidi w:val="0"/>
              <w:spacing w:lineRule="auto" w:line="285" w:before="0" w:after="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3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31,035,189</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100" w:after="10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 except share data)</w:t>
      </w:r>
    </w:p>
    <w:p>
      <w:pPr>
        <w:pStyle w:val="TextBody"/>
        <w:bidi w:val="0"/>
        <w:spacing w:lineRule="auto" w:line="285" w:before="0" w:after="0"/>
        <w:ind w:left="0" w:right="0" w:hanging="0"/>
        <w:jc w:val="left"/>
        <w:rPr/>
      </w:pPr>
      <w:r>
        <w:rPr/>
        <w:t>​</w:t>
      </w:r>
    </w:p>
    <w:tbl>
      <w:tblPr>
        <w:tblW w:w="9229" w:type="dxa"/>
        <w:jc w:val="left"/>
        <w:tblInd w:w="0" w:type="dxa"/>
        <w:tblLayout w:type="fixed"/>
        <w:tblCellMar>
          <w:top w:w="0" w:type="dxa"/>
          <w:left w:w="0" w:type="dxa"/>
          <w:bottom w:w="0" w:type="dxa"/>
          <w:right w:w="0" w:type="dxa"/>
        </w:tblCellMar>
      </w:tblPr>
      <w:tblGrid>
        <w:gridCol w:w="6436"/>
        <w:gridCol w:w="346"/>
        <w:gridCol w:w="196"/>
        <w:gridCol w:w="811"/>
        <w:gridCol w:w="109"/>
        <w:gridCol w:w="222"/>
        <w:gridCol w:w="918"/>
        <w:gridCol w:w="191"/>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086860" cy="175260"/>
                      <wp:effectExtent l="0" t="0" r="0" b="0"/>
                      <wp:wrapNone/>
                      <wp:docPr id="13" name="Frame12"/>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14985" cy="175260"/>
                      <wp:effectExtent l="0" t="0" r="0" b="0"/>
                      <wp:wrapNone/>
                      <wp:docPr id="16" name="Frame1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0970" cy="175260"/>
                      <wp:effectExtent l="0" t="0" r="0" b="0"/>
                      <wp:wrapNone/>
                      <wp:docPr id="18" name="Frame1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82930" cy="175260"/>
                      <wp:effectExtent l="0" t="0" r="0" b="0"/>
                      <wp:wrapNone/>
                      <wp:docPr id="19" name="Frame18"/>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1285" cy="175260"/>
                      <wp:effectExtent l="0" t="0" r="0" b="0"/>
                      <wp:wrapNone/>
                      <wp:docPr id="20" name="Frame1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December 31,</w:t>
            </w:r>
          </w:p>
        </w:tc>
        <w:tc>
          <w:tcPr>
            <w:tcW w:w="191" w:type="dxa"/>
            <w:tcBorders/>
            <w:vAlign w:val="center"/>
          </w:tcPr>
          <w:p>
            <w:pPr>
              <w:pStyle w:val="TableContents"/>
              <w:bidi w:val="0"/>
              <w:spacing w:lineRule="auto" w:line="285" w:before="0" w:after="0"/>
              <w:ind w:left="0" w:right="0" w:hanging="0"/>
              <w:jc w:val="left"/>
              <w:rPr/>
            </w:pPr>
            <w:r>
              <w:rPr/>
              <w:t> </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1,374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19,440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22" w:type="dxa"/>
            <w:tcBorders/>
            <w:shd w:fill="CCEEFF" w:val="clear"/>
            <w:vAlign w:val="center"/>
          </w:tcPr>
          <w:p>
            <w:pPr>
              <w:pStyle w:val="TableContents"/>
              <w:bidi w:val="0"/>
              <w:spacing w:lineRule="auto" w:line="285" w:before="0" w:after="0"/>
              <w:ind w:left="0" w:right="0" w:hanging="0"/>
              <w:jc w:val="right"/>
              <w:rPr/>
            </w:pPr>
            <w:r>
              <w:rPr/>
              <w:t> </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9,389</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6,667</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7,169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27,851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21,835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253,620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254,017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Less accumulated depreciation</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(220,373)</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(223,242)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Property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33,247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30,775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lease right-of-use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2,939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3,036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359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64,396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9,127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9,578</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Payroll costs and other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2,211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1,474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1,361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6,370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notes payable and finance leases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7,319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6,232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Current maturities of operating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27,475</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26,837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Notes payable and finance leases,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11,726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11,324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maturities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1,848</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2,024</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41,066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40,202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Preferred stock-par value $1.00 per share; 4,000,000 shares authorized, none outstanding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Common stock-par value $0.01 per share; 35,000,000 shares authorized,</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81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31,052,840 shares issued and outstanding at March 31,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8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157,201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157,154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81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(131,899)</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(139,560)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(2,283)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(2,097)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23,330</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15,808</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81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918"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64,396</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56,010</w:t>
            </w:r>
          </w:p>
        </w:tc>
        <w:tc>
          <w:tcPr>
            <w:tcW w:w="1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100" w:after="100"/>
        <w:ind w:left="0" w:right="0" w:hanging="0"/>
        <w:jc w:val="center"/>
        <w:rPr/>
      </w:pPr>
      <w:r>
        <w:rPr/>
        <w:t>​</w:t>
      </w:r>
    </w:p>
    <w:p>
      <w:pPr>
        <w:pStyle w:val="TextBody"/>
        <w:bidi w:val="0"/>
        <w:spacing w:lineRule="auto" w:line="285" w:before="100" w:after="100"/>
        <w:ind w:left="0" w:right="0" w:hanging="0"/>
        <w:jc w:val="center"/>
        <w:rPr/>
      </w:pPr>
      <w:r>
        <w:rPr/>
        <w:t>​</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DAWSON GEOPHYSICAL COMPANY</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(unaudited and amounts in thousands)</w:t>
      </w:r>
    </w:p>
    <w:tbl>
      <w:tblPr>
        <w:tblW w:w="9626" w:type="dxa"/>
        <w:jc w:val="left"/>
        <w:tblInd w:w="0" w:type="dxa"/>
        <w:tblLayout w:type="fixed"/>
        <w:tblCellMar>
          <w:top w:w="0" w:type="dxa"/>
          <w:left w:w="0" w:type="dxa"/>
          <w:bottom w:w="0" w:type="dxa"/>
          <w:right w:w="0" w:type="dxa"/>
        </w:tblCellMar>
      </w:tblPr>
      <w:tblGrid>
        <w:gridCol w:w="6466"/>
        <w:gridCol w:w="346"/>
        <w:gridCol w:w="246"/>
        <w:gridCol w:w="905"/>
        <w:gridCol w:w="434"/>
        <w:gridCol w:w="246"/>
        <w:gridCol w:w="792"/>
        <w:gridCol w:w="191"/>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105910" cy="175260"/>
                      <wp:effectExtent l="0" t="0" r="0" b="0"/>
                      <wp:wrapNone/>
                      <wp:docPr id="21" name="Frame20"/>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6210" cy="175260"/>
                      <wp:effectExtent l="0" t="0" r="0" b="0"/>
                      <wp:wrapNone/>
                      <wp:docPr id="23" name="Frame22"/>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4675" cy="175260"/>
                      <wp:effectExtent l="0" t="0" r="0" b="0"/>
                      <wp:wrapNone/>
                      <wp:docPr id="24" name="Frame2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75590" cy="175260"/>
                      <wp:effectExtent l="0" t="0" r="0" b="0"/>
                      <wp:wrapNone/>
                      <wp:docPr id="25" name="Frame24"/>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6210" cy="175260"/>
                      <wp:effectExtent l="0" t="0" r="0" b="0"/>
                      <wp:wrapNone/>
                      <wp:docPr id="26" name="Frame25"/>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02920" cy="175260"/>
                      <wp:effectExtent l="0" t="0" r="0" b="0"/>
                      <wp:wrapNone/>
                      <wp:docPr id="27" name="Frame2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1285" cy="175260"/>
                      <wp:effectExtent l="0" t="0" r="0" b="0"/>
                      <wp:wrapNone/>
                      <wp:docPr id="28" name="Frame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1" w:after="1"/>
              <w:ind w:left="0" w:right="0" w:hanging="0"/>
              <w:jc w:val="left"/>
              <w:rPr/>
            </w:pPr>
            <w:r>
              <w:rPr/>
              <w:t>  ​ ​ ​</w:t>
            </w:r>
          </w:p>
        </w:tc>
        <w:tc>
          <w:tcPr>
            <w:tcW w:w="1151"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34" w:type="dxa"/>
            <w:tcBorders/>
            <w:vAlign w:val="center"/>
          </w:tcPr>
          <w:p>
            <w:pPr>
              <w:pStyle w:val="TableContents"/>
              <w:bidi w:val="0"/>
              <w:spacing w:lineRule="auto" w:line="285" w:before="1" w:after="1"/>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91" w:type="dxa"/>
            <w:tcBorders/>
            <w:vAlign w:val="center"/>
          </w:tcPr>
          <w:p>
            <w:pPr>
              <w:pStyle w:val="TableContents"/>
              <w:bidi w:val="0"/>
              <w:spacing w:lineRule="auto" w:line="285" w:before="1" w:after="1"/>
              <w:ind w:left="0" w:right="0" w:hanging="0"/>
              <w:jc w:val="left"/>
              <w:rPr/>
            </w:pPr>
            <w:r>
              <w:rPr/>
              <w:t> </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7,661</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992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(used in)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1,997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1,271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250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Non-cash compensation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44</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Bad debt expense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1" w:after="1"/>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177</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Gain on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Increase in 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(10,207)</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(1,259)</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prepaid expenses and 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640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increase in 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(437)</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516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Increase (decrease) in accrued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1,121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(107)</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(265)</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(272)</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(Decrease) increase in 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(1,107)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153</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1,752</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Capital expenditures, net of non-cash capital expenditures summarized below</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pPr>
            <w:r>
              <w:rPr/>
              <w:t> </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(1,433)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Proceeds from disposal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93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(1,340)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Principal payments on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(1,413)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(440)</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Principal payments on finance leases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(274)</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(191)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Borrowings on line of credit (related party)</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4,250</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1" w:after="1"/>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Repayments on line of credit (related party)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(4,250)</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9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79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(1,687)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(631)</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righ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righ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(decrease)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(3,533)</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pPr>
            <w:r>
              <w:rPr/>
              <w:t> </w:t>
            </w:r>
          </w:p>
        </w:tc>
        <w:tc>
          <w:tcPr>
            <w:tcW w:w="79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1,280</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4,907</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1,385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lef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1,374</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bottom w:val="double" w:sz="6"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2,665</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 xml:space="preserve">Cash paid for interest </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65</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righ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b/>
                <w:sz w:val="18"/>
              </w:rPr>
            </w:pPr>
            <w:r>
              <w:rPr>
                <w:rFonts w:ascii="Times New Roman;Times;serif" w:hAnsi="Times New Roman;Times;serif"/>
                <w:b/>
                <w:sz w:val="18"/>
              </w:rPr>
              <w:t>Non-cash operating,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905" w:type="dxa"/>
            <w:tcBorders/>
            <w:vAlign w:val="center"/>
          </w:tcPr>
          <w:p>
            <w:pPr>
              <w:pStyle w:val="TableContents"/>
              <w:bidi w:val="0"/>
              <w:spacing w:lineRule="auto" w:line="285" w:before="0" w:after="0"/>
              <w:ind w:left="0" w:right="0" w:hanging="0"/>
              <w:jc w:val="righ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0" w:after="0"/>
              <w:ind w:left="0" w:right="0" w:hanging="0"/>
              <w:jc w:val="left"/>
              <w:rPr/>
            </w:pPr>
            <w:r>
              <w:rPr/>
              <w:t>​</w:t>
            </w:r>
          </w:p>
        </w:tc>
        <w:tc>
          <w:tcPr>
            <w:tcW w:w="792" w:type="dxa"/>
            <w:tcBorders/>
            <w:vAlign w:val="center"/>
          </w:tcPr>
          <w:p>
            <w:pPr>
              <w:pStyle w:val="TableContents"/>
              <w:bidi w:val="0"/>
              <w:spacing w:lineRule="auto" w:line="285" w:before="0" w:after="0"/>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 leases incurred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361</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Increase in right-of-use assets and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1" w:after="1"/>
              <w:ind w:left="0" w:right="0" w:hanging="0"/>
              <w:jc w:val="right"/>
              <w:rPr/>
            </w:pPr>
            <w:r>
              <w:rPr/>
              <w:t>—</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Financed equipment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2,698</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shd w:fill="CCEEFF" w:val="clear"/>
            <w:vAlign w:val="center"/>
          </w:tcPr>
          <w:p>
            <w:pPr>
              <w:pStyle w:val="TableContents"/>
              <w:bidi w:val="0"/>
              <w:spacing w:lineRule="auto" w:line="285" w:before="1" w:after="1"/>
              <w:ind w:left="0" w:right="0" w:hanging="0"/>
              <w:jc w:val="righ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r>
        <w:trPr/>
        <w:tc>
          <w:tcPr>
            <w:tcW w:w="646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Financed insurance premiums</w:t>
            </w:r>
          </w:p>
        </w:tc>
        <w:tc>
          <w:tcPr>
            <w:tcW w:w="346"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128</w:t>
            </w:r>
          </w:p>
        </w:tc>
        <w:tc>
          <w:tcPr>
            <w:tcW w:w="434" w:type="dxa"/>
            <w:tcBorders/>
            <w:vAlign w:val="center"/>
          </w:tcPr>
          <w:p>
            <w:pPr>
              <w:pStyle w:val="TableContents"/>
              <w:bidi w:val="0"/>
              <w:spacing w:lineRule="auto" w:line="285" w:before="0" w:after="0"/>
              <w:ind w:left="0" w:right="0" w:hanging="0"/>
              <w:jc w:val="left"/>
              <w:rPr/>
            </w:pPr>
            <w:r>
              <w:rPr/>
              <w:t>​</w:t>
            </w:r>
          </w:p>
        </w:tc>
        <w:tc>
          <w:tcPr>
            <w:tcW w:w="24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1,746</w:t>
            </w:r>
          </w:p>
        </w:tc>
        <w:tc>
          <w:tcPr>
            <w:tcW w:w="191" w:type="dxa"/>
            <w:tcBorders/>
            <w:vAlign w:val="center"/>
          </w:tcPr>
          <w:p>
            <w:pPr>
              <w:pStyle w:val="TableContents"/>
              <w:bidi w:val="0"/>
              <w:spacing w:lineRule="auto" w:line="285" w:before="0" w:after="0"/>
              <w:ind w:left="0" w:right="0" w:hanging="0"/>
              <w:jc w:val="left"/>
              <w:rPr/>
            </w:pPr>
            <w:r>
              <w:rPr/>
              <w:t>​</w:t>
            </w:r>
          </w:p>
        </w:tc>
      </w:tr>
      <w:tr>
        <w:trPr/>
        <w:tc>
          <w:tcPr>
            <w:tcW w:w="646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905"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0"/>
              <w:ind w:left="0" w:right="0" w:hanging="0"/>
              <w:jc w:val="left"/>
              <w:rPr/>
            </w:pPr>
            <w:r>
              <w:rPr/>
              <w:t>​</w:t>
            </w:r>
          </w:p>
        </w:tc>
        <w:tc>
          <w:tcPr>
            <w:tcW w:w="246" w:type="dxa"/>
            <w:tcBorders/>
            <w:shd w:fill="CCEEFF" w:val="clear"/>
            <w:vAlign w:val="center"/>
          </w:tcPr>
          <w:p>
            <w:pPr>
              <w:pStyle w:val="TableContents"/>
              <w:bidi w:val="0"/>
              <w:spacing w:lineRule="auto" w:line="285" w:before="0" w:after="0"/>
              <w:ind w:left="0" w:right="0" w:hanging="0"/>
              <w:jc w:val="left"/>
              <w:rPr/>
            </w:pPr>
            <w:r>
              <w:rPr/>
              <w:t>​</w:t>
            </w:r>
          </w:p>
        </w:tc>
        <w:tc>
          <w:tcPr>
            <w:tcW w:w="792" w:type="dxa"/>
            <w:tcBorders/>
            <w:shd w:fill="CCEEFF" w:val="clear"/>
            <w:vAlign w:val="center"/>
          </w:tcPr>
          <w:p>
            <w:pPr>
              <w:pStyle w:val="TableContents"/>
              <w:bidi w:val="0"/>
              <w:spacing w:lineRule="auto" w:line="285" w:before="0" w:after="0"/>
              <w:ind w:left="0" w:right="0" w:hanging="0"/>
              <w:jc w:val="left"/>
              <w:rPr/>
            </w:pPr>
            <w:r>
              <w:rPr/>
              <w:t>​</w:t>
            </w:r>
          </w:p>
        </w:tc>
        <w:tc>
          <w:tcPr>
            <w:tcW w:w="191" w:type="dxa"/>
            <w:tcBorders/>
            <w:shd w:fill="CCEEFF" w:val="clear"/>
            <w:vAlign w:val="center"/>
          </w:tcPr>
          <w:p>
            <w:pPr>
              <w:pStyle w:val="TableContents"/>
              <w:bidi w:val="0"/>
              <w:spacing w:lineRule="auto" w:line="285" w:before="0" w:after="0"/>
              <w:ind w:left="0" w:right="0" w:hanging="0"/>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(Loss) Income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p>
      <w:pPr>
        <w:pStyle w:val="TextBody"/>
        <w:bidi w:val="0"/>
        <w:spacing w:lineRule="auto" w:line="285" w:before="0" w:after="0"/>
        <w:ind w:left="0" w:right="0" w:hanging="0"/>
        <w:jc w:val="left"/>
        <w:rPr/>
      </w:pPr>
      <w:r>
        <w:rPr/>
        <w:t>​</w:t>
      </w:r>
    </w:p>
    <w:tbl>
      <w:tblPr>
        <w:tblW w:w="8153" w:type="dxa"/>
        <w:jc w:val="left"/>
        <w:tblInd w:w="0" w:type="dxa"/>
        <w:tblLayout w:type="fixed"/>
        <w:tblCellMar>
          <w:top w:w="0" w:type="dxa"/>
          <w:left w:w="0" w:type="dxa"/>
          <w:bottom w:w="0" w:type="dxa"/>
          <w:right w:w="0" w:type="dxa"/>
        </w:tblCellMar>
      </w:tblPr>
      <w:tblGrid>
        <w:gridCol w:w="2236"/>
        <w:gridCol w:w="208"/>
        <w:gridCol w:w="542"/>
        <w:gridCol w:w="109"/>
        <w:gridCol w:w="216"/>
        <w:gridCol w:w="564"/>
        <w:gridCol w:w="109"/>
        <w:gridCol w:w="269"/>
        <w:gridCol w:w="826"/>
        <w:gridCol w:w="109"/>
        <w:gridCol w:w="196"/>
        <w:gridCol w:w="631"/>
        <w:gridCol w:w="109"/>
        <w:gridCol w:w="216"/>
        <w:gridCol w:w="564"/>
        <w:gridCol w:w="109"/>
        <w:gridCol w:w="275"/>
        <w:gridCol w:w="865"/>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19860" cy="175260"/>
                      <wp:effectExtent l="0" t="0" r="0" b="0"/>
                      <wp:wrapNone/>
                      <wp:docPr id="29" name="Frame28"/>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44170" cy="175260"/>
                      <wp:effectExtent l="0" t="0" r="0" b="0"/>
                      <wp:wrapNone/>
                      <wp:docPr id="30" name="Frame29"/>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8140" cy="175260"/>
                      <wp:effectExtent l="0" t="0" r="0" b="0"/>
                      <wp:wrapNone/>
                      <wp:docPr id="32" name="Frame31"/>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4510" cy="175260"/>
                      <wp:effectExtent l="0" t="0" r="0" b="0"/>
                      <wp:wrapNone/>
                      <wp:docPr id="34" name="Frame3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00685" cy="175260"/>
                      <wp:effectExtent l="0" t="0" r="0" b="0"/>
                      <wp:wrapNone/>
                      <wp:docPr id="36" name="Frame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58140" cy="175260"/>
                      <wp:effectExtent l="0" t="0" r="0" b="0"/>
                      <wp:wrapNone/>
                      <wp:docPr id="38" name="Frame37"/>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49275" cy="175260"/>
                      <wp:effectExtent l="0" t="0" r="0" b="0"/>
                      <wp:wrapNone/>
                      <wp:docPr id="40" name="Frame39"/>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5917"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20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1,766</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1,077</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0" w:after="0"/>
              <w:ind w:left="0" w:right="0" w:hanging="0"/>
              <w:jc w:val="right"/>
              <w:rPr/>
            </w:pPr>
            <w:r>
              <w:rPr/>
              <w:t>—</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EBITDA to Net Cash Provided By (Used in) Operating Activities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lineRule="auto" w:line="285" w:before="100" w:after="100"/>
        <w:ind w:left="0" w:right="0" w:hanging="0"/>
        <w:jc w:val="left"/>
        <w:rPr/>
      </w:pPr>
      <w:r>
        <w:rPr/>
        <w:t>​</w:t>
      </w:r>
    </w:p>
    <w:tbl>
      <w:tblPr>
        <w:tblW w:w="9640" w:type="dxa"/>
        <w:jc w:val="left"/>
        <w:tblInd w:w="0" w:type="dxa"/>
        <w:tblLayout w:type="fixed"/>
        <w:tblCellMar>
          <w:top w:w="0" w:type="dxa"/>
          <w:left w:w="0" w:type="dxa"/>
          <w:bottom w:w="0" w:type="dxa"/>
          <w:right w:w="0" w:type="dxa"/>
        </w:tblCellMar>
      </w:tblPr>
      <w:tblGrid>
        <w:gridCol w:w="3676"/>
        <w:gridCol w:w="208"/>
        <w:gridCol w:w="542"/>
        <w:gridCol w:w="109"/>
        <w:gridCol w:w="196"/>
        <w:gridCol w:w="631"/>
        <w:gridCol w:w="109"/>
        <w:gridCol w:w="269"/>
        <w:gridCol w:w="826"/>
        <w:gridCol w:w="109"/>
        <w:gridCol w:w="196"/>
        <w:gridCol w:w="631"/>
        <w:gridCol w:w="109"/>
        <w:gridCol w:w="216"/>
        <w:gridCol w:w="564"/>
        <w:gridCol w:w="109"/>
        <w:gridCol w:w="275"/>
        <w:gridCol w:w="865"/>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34260" cy="175260"/>
                      <wp:effectExtent l="0" t="0" r="0" b="0"/>
                      <wp:wrapNone/>
                      <wp:docPr id="41" name="Frame40"/>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44170" cy="175260"/>
                      <wp:effectExtent l="0" t="0" r="0" b="0"/>
                      <wp:wrapNone/>
                      <wp:docPr id="42" name="Frame4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00685" cy="175260"/>
                      <wp:effectExtent l="0" t="0" r="0" b="0"/>
                      <wp:wrapNone/>
                      <wp:docPr id="44" name="Frame4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45"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4510" cy="175260"/>
                      <wp:effectExtent l="0" t="0" r="0" b="0"/>
                      <wp:wrapNone/>
                      <wp:docPr id="46" name="Frame4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00685" cy="175260"/>
                      <wp:effectExtent l="0" t="0" r="0" b="0"/>
                      <wp:wrapNone/>
                      <wp:docPr id="48" name="Frame4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58140" cy="175260"/>
                      <wp:effectExtent l="0" t="0" r="0" b="0"/>
                      <wp:wrapNone/>
                      <wp:docPr id="50" name="Frame4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215" cy="175260"/>
                      <wp:effectExtent l="0" t="0" r="0" b="0"/>
                      <wp:wrapNone/>
                      <wp:docPr id="51"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49275" cy="175260"/>
                      <wp:effectExtent l="0" t="0" r="0" b="0"/>
                      <wp:wrapNone/>
                      <wp:docPr id="52" name="Frame51"/>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5964" w:type="dxa"/>
            <w:gridSpan w:val="17"/>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3676" w:type="dxa"/>
            <w:tcBorders/>
            <w:vAlign w:val="center"/>
          </w:tcPr>
          <w:p>
            <w:pPr>
              <w:pStyle w:val="TableContents"/>
              <w:bidi w:val="0"/>
              <w:spacing w:lineRule="auto" w:line="285"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US</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CA</w:t>
            </w:r>
          </w:p>
        </w:tc>
        <w:tc>
          <w:tcPr>
            <w:tcW w:w="109" w:type="dxa"/>
            <w:tcBorders/>
            <w:vAlign w:val="center"/>
          </w:tcPr>
          <w:p>
            <w:pPr>
              <w:pStyle w:val="TableContents"/>
              <w:bidi w:val="0"/>
              <w:spacing w:lineRule="auto" w:line="285"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2026 Consol.</w:t>
            </w:r>
          </w:p>
        </w:tc>
        <w:tc>
          <w:tcPr>
            <w:tcW w:w="109" w:type="dxa"/>
            <w:tcBorders/>
            <w:vAlign w:val="center"/>
          </w:tcPr>
          <w:p>
            <w:pPr>
              <w:pStyle w:val="TableContents"/>
              <w:bidi w:val="0"/>
              <w:spacing w:lineRule="auto" w:line="285" w:before="0" w:after="0"/>
              <w:ind w:left="0" w:right="0" w:hanging="0"/>
              <w:jc w:val="center"/>
              <w:rPr/>
            </w:pPr>
            <w:r>
              <w:rPr/>
              <w:t>​</w:t>
            </w:r>
          </w:p>
        </w:tc>
        <w:tc>
          <w:tcPr>
            <w:tcW w:w="827"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US</w:t>
            </w:r>
          </w:p>
        </w:tc>
        <w:tc>
          <w:tcPr>
            <w:tcW w:w="109" w:type="dxa"/>
            <w:tcBorders/>
            <w:vAlign w:val="center"/>
          </w:tcPr>
          <w:p>
            <w:pPr>
              <w:pStyle w:val="TableContents"/>
              <w:bidi w:val="0"/>
              <w:spacing w:lineRule="auto" w:line="285" w:before="0" w:after="0"/>
              <w:ind w:left="0" w:right="0" w:hanging="0"/>
              <w:jc w:val="center"/>
              <w:rPr/>
            </w:pPr>
            <w:r>
              <w:rPr/>
              <w:t>​</w:t>
            </w:r>
          </w:p>
        </w:tc>
        <w:tc>
          <w:tcPr>
            <w:tcW w:w="78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CA</w:t>
            </w:r>
          </w:p>
        </w:tc>
        <w:tc>
          <w:tcPr>
            <w:tcW w:w="109" w:type="dxa"/>
            <w:tcBorders/>
            <w:vAlign w:val="center"/>
          </w:tcPr>
          <w:p>
            <w:pPr>
              <w:pStyle w:val="TableContents"/>
              <w:bidi w:val="0"/>
              <w:spacing w:lineRule="auto" w:line="285"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b/>
                <w:sz w:val="18"/>
              </w:rPr>
            </w:pPr>
            <w:r>
              <w:rPr>
                <w:rFonts w:ascii="Times New Roman;Times;serif" w:hAnsi="Times New Roman;Times;serif"/>
                <w:b/>
                <w:sz w:val="18"/>
              </w:rPr>
              <w:t>2025 Consol.</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Net cash provided by (used in) operating activities</w:t>
            </w:r>
          </w:p>
        </w:tc>
        <w:tc>
          <w:tcPr>
            <w:tcW w:w="208"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1,899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(2,364)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(465)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1,544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208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1,752</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Changes in working capital and other items</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2,809</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8,054</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10,863</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left"/>
              <w:rPr/>
            </w:pPr>
            <w:r>
              <w:rPr/>
              <w:t>​</w:t>
            </w:r>
          </w:p>
        </w:tc>
        <w:tc>
          <w:tcPr>
            <w:tcW w:w="5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5,587</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left"/>
              <w:rPr/>
            </w:pPr>
            <w:r>
              <w:rPr/>
              <w:t>​</w:t>
            </w:r>
          </w:p>
        </w:tc>
        <w:tc>
          <w:tcPr>
            <w:tcW w:w="86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1,057</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Non-cash adjustments to net income (loss)</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(178)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(417)</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(54)</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(471)</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EBITDA</w:t>
            </w:r>
          </w:p>
        </w:tc>
        <w:tc>
          <w:tcPr>
            <w:tcW w:w="208" w:type="dxa"/>
            <w:tcBorders/>
            <w:vAlign w:val="center"/>
          </w:tcPr>
          <w:p>
            <w:pPr>
              <w:pStyle w:val="TableContents"/>
              <w:bidi w:val="0"/>
              <w:spacing w:lineRule="auto" w:line="285" w:before="0" w:after="0"/>
              <w:ind w:left="0" w:right="0" w:hanging="0"/>
              <w:jc w:val="left"/>
              <w:rPr/>
            </w:pPr>
            <w:r>
              <w:rPr/>
              <w:t>​</w:t>
            </w:r>
          </w:p>
        </w:tc>
        <w:tc>
          <w:tcPr>
            <w:tcW w:w="542"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4,530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0" w:after="0"/>
              <w:ind w:left="0" w:right="0" w:hanging="0"/>
              <w:jc w:val="center"/>
              <w:rPr/>
            </w:pPr>
            <w:r>
              <w:rPr/>
              <w:t>​</w:t>
            </w:r>
          </w:p>
        </w:tc>
        <w:tc>
          <w:tcPr>
            <w:tcW w:w="826"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10,160</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631"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vAlign w:val="center"/>
          </w:tcPr>
          <w:p>
            <w:pPr>
              <w:pStyle w:val="TableContents"/>
              <w:bidi w:val="0"/>
              <w:spacing w:lineRule="auto" w:line="285" w:before="0" w:after="0"/>
              <w:ind w:left="0" w:right="0" w:hanging="0"/>
              <w:jc w:val="center"/>
              <w:rPr/>
            </w:pPr>
            <w:r>
              <w:rPr/>
              <w:t>​</w:t>
            </w:r>
          </w:p>
        </w:tc>
        <w:tc>
          <w:tcPr>
            <w:tcW w:w="564"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vAlign w:val="center"/>
          </w:tcPr>
          <w:p>
            <w:pPr>
              <w:pStyle w:val="TableContents"/>
              <w:bidi w:val="0"/>
              <w:spacing w:lineRule="auto" w:line="285" w:before="0" w:after="0"/>
              <w:ind w:left="0" w:right="0" w:hanging="0"/>
              <w:jc w:val="center"/>
              <w:rPr/>
            </w:pPr>
            <w:r>
              <w:rPr/>
              <w:t>​</w:t>
            </w:r>
          </w:p>
        </w:tc>
        <w:tc>
          <w:tcPr>
            <w:tcW w:w="865" w:type="dxa"/>
            <w:tcBorders/>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2,338</w:t>
            </w:r>
          </w:p>
        </w:tc>
      </w:tr>
      <w:tr>
        <w:trPr/>
        <w:tc>
          <w:tcPr>
            <w:tcW w:w="3676" w:type="dxa"/>
            <w:tcBorders/>
            <w:shd w:fill="CCEEFF" w:val="clear"/>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Strategic transaction costs</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2"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9"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695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6" w:type="dxa"/>
            <w:tcBorders/>
            <w:shd w:fill="CCEEFF" w:val="clear"/>
            <w:vAlign w:val="center"/>
          </w:tcPr>
          <w:p>
            <w:pPr>
              <w:pStyle w:val="TableContents"/>
              <w:bidi w:val="0"/>
              <w:spacing w:lineRule="auto" w:line="285" w:before="0" w:after="0"/>
              <w:ind w:left="0" w:right="0" w:hanging="0"/>
              <w:jc w:val="left"/>
              <w:rPr/>
            </w:pPr>
            <w:r>
              <w:rPr/>
              <w:t>​</w:t>
            </w:r>
          </w:p>
        </w:tc>
        <w:tc>
          <w:tcPr>
            <w:tcW w:w="564" w:type="dxa"/>
            <w:tcBorders/>
            <w:shd w:fill="CCEEFF" w:val="clear"/>
            <w:vAlign w:val="center"/>
          </w:tcPr>
          <w:p>
            <w:pPr>
              <w:pStyle w:val="TableContents"/>
              <w:bidi w:val="0"/>
              <w:spacing w:lineRule="auto" w:line="285" w:before="1" w:after="1"/>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75" w:type="dxa"/>
            <w:tcBorders/>
            <w:shd w:fill="CCEEFF" w:val="clear"/>
            <w:vAlign w:val="center"/>
          </w:tcPr>
          <w:p>
            <w:pPr>
              <w:pStyle w:val="TableContents"/>
              <w:bidi w:val="0"/>
              <w:spacing w:lineRule="auto" w:line="285" w:before="0" w:after="0"/>
              <w:ind w:left="0" w:right="0" w:hanging="0"/>
              <w:jc w:val="left"/>
              <w:rPr/>
            </w:pPr>
            <w:r>
              <w:rPr/>
              <w:t>​</w:t>
            </w:r>
          </w:p>
        </w:tc>
        <w:tc>
          <w:tcPr>
            <w:tcW w:w="865" w:type="dxa"/>
            <w:tcBorders/>
            <w:shd w:fill="CCEEFF" w:val="clear"/>
            <w:vAlign w:val="center"/>
          </w:tcPr>
          <w:p>
            <w:pPr>
              <w:pStyle w:val="TableContents"/>
              <w:bidi w:val="0"/>
              <w:spacing w:lineRule="auto" w:line="285" w:before="1" w:after="1"/>
              <w:ind w:left="0" w:right="0" w:hanging="0"/>
              <w:jc w:val="right"/>
              <w:rPr/>
            </w:pPr>
            <w:r>
              <w:rPr/>
              <w:t>—</w:t>
            </w:r>
          </w:p>
        </w:tc>
      </w:tr>
      <w:tr>
        <w:trPr/>
        <w:tc>
          <w:tcPr>
            <w:tcW w:w="3676" w:type="dxa"/>
            <w:tcBorders/>
            <w:vAlign w:val="center"/>
          </w:tcPr>
          <w:p>
            <w:pPr>
              <w:pStyle w:val="TableContents"/>
              <w:bidi w:val="0"/>
              <w:spacing w:lineRule="auto" w:line="285" w:before="1"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208"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42"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5,225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5,630</w:t>
            </w:r>
          </w:p>
        </w:tc>
        <w:tc>
          <w:tcPr>
            <w:tcW w:w="109" w:type="dxa"/>
            <w:tcBorders/>
            <w:vAlign w:val="center"/>
          </w:tcPr>
          <w:p>
            <w:pPr>
              <w:pStyle w:val="TableContents"/>
              <w:bidi w:val="0"/>
              <w:spacing w:lineRule="auto" w:line="285" w:before="0" w:after="0"/>
              <w:ind w:left="0" w:right="0" w:hanging="0"/>
              <w:jc w:val="left"/>
              <w:rPr/>
            </w:pPr>
            <w:r>
              <w:rPr/>
              <w:t>​</w:t>
            </w:r>
          </w:p>
        </w:tc>
        <w:tc>
          <w:tcPr>
            <w:tcW w:w="269" w:type="dxa"/>
            <w:tcBorders/>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10,855</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(3,403)</w:t>
            </w:r>
          </w:p>
        </w:tc>
        <w:tc>
          <w:tcPr>
            <w:tcW w:w="109" w:type="dxa"/>
            <w:tcBorders/>
            <w:vAlign w:val="center"/>
          </w:tcPr>
          <w:p>
            <w:pPr>
              <w:pStyle w:val="TableContents"/>
              <w:bidi w:val="0"/>
              <w:spacing w:lineRule="auto" w:line="285"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564" w:type="dxa"/>
            <w:tcBorders>
              <w:bottom w:val="double" w:sz="6" w:space="0" w:color="000000"/>
            </w:tcBorders>
            <w:tcMar>
              <w:bottom w:w="28" w:type="dxa"/>
            </w:tcMar>
            <w:vAlign w:val="center"/>
          </w:tcPr>
          <w:p>
            <w:pPr>
              <w:pStyle w:val="TableContents"/>
              <w:bidi w:val="0"/>
              <w:spacing w:lineRule="auto" w:line="285" w:before="1" w:after="1"/>
              <w:ind w:left="0" w:right="0" w:hanging="0"/>
              <w:jc w:val="right"/>
              <w:rPr>
                <w:rFonts w:ascii="Times New Roman;Times;serif" w:hAnsi="Times New Roman;Times;serif"/>
                <w:sz w:val="18"/>
              </w:rPr>
            </w:pPr>
            <w:r>
              <w:rPr>
                <w:rFonts w:ascii="Times New Roman;Times;serif" w:hAnsi="Times New Roman;Times;serif"/>
                <w:sz w:val="18"/>
              </w:rPr>
              <w:t>5,741</w:t>
            </w:r>
          </w:p>
        </w:tc>
        <w:tc>
          <w:tcPr>
            <w:tcW w:w="109" w:type="dxa"/>
            <w:tcBorders/>
            <w:vAlign w:val="center"/>
          </w:tcPr>
          <w:p>
            <w:pPr>
              <w:pStyle w:val="TableContents"/>
              <w:bidi w:val="0"/>
              <w:spacing w:lineRule="auto" w:line="285"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lineRule="auto" w:line="285" w:before="1"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tcMar>
              <w:bottom w:w="28" w:type="dxa"/>
            </w:tcMar>
            <w:vAlign w:val="center"/>
          </w:tcPr>
          <w:p>
            <w:pPr>
              <w:pStyle w:val="TableContents"/>
              <w:bidi w:val="0"/>
              <w:spacing w:lineRule="auto" w:line="285" w:before="1" w:after="1"/>
              <w:ind w:left="0" w:right="60" w:hanging="0"/>
              <w:jc w:val="right"/>
              <w:rPr>
                <w:rFonts w:ascii="Times New Roman;Times;serif" w:hAnsi="Times New Roman;Times;serif"/>
                <w:sz w:val="18"/>
              </w:rPr>
            </w:pPr>
            <w:r>
              <w:rPr>
                <w:rFonts w:ascii="Times New Roman;Times;serif" w:hAnsi="Times New Roman;Times;serif"/>
                <w:sz w:val="18"/>
              </w:rPr>
              <w:t>2,338</w:t>
            </w:r>
          </w:p>
        </w:tc>
      </w:tr>
    </w:tbl>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120"/>
        <w:ind w:left="0" w:right="0" w:hanging="0"/>
        <w:jc w:val="left"/>
        <w:rPr>
          <w:rFonts w:ascii="Times New Roman;Times;serif" w:hAnsi="Times New Roman;Times;serif"/>
          <w:b/>
          <w:sz w:val="20"/>
        </w:rPr>
      </w:pPr>
      <w:r>
        <w:rPr>
          <w:rFonts w:ascii="Times New Roman;Times;serif" w:hAnsi="Times New Roman;Times;serif"/>
          <w:b/>
          <w:sz w:val="20"/>
        </w:rPr>
        <w:t>Statements of Operations by operating segment for the three months ended March 31, 2026 and 2025.</w:t>
      </w:r>
    </w:p>
    <w:p>
      <w:pPr>
        <w:pStyle w:val="TextBody"/>
        <w:bidi w:val="0"/>
        <w:spacing w:lineRule="auto" w:line="285" w:before="0" w:after="0"/>
        <w:ind w:left="0" w:right="0" w:hanging="0"/>
        <w:jc w:val="left"/>
        <w:rPr/>
      </w:pPr>
      <w:r>
        <w:rPr/>
        <w:t>​</w:t>
      </w:r>
    </w:p>
    <w:tbl>
      <w:tblPr>
        <w:tblW w:w="8283" w:type="dxa"/>
        <w:jc w:val="left"/>
        <w:tblInd w:w="0" w:type="dxa"/>
        <w:tblLayout w:type="fixed"/>
        <w:tblCellMar>
          <w:top w:w="0" w:type="dxa"/>
          <w:left w:w="0" w:type="dxa"/>
          <w:bottom w:w="0" w:type="dxa"/>
          <w:right w:w="0" w:type="dxa"/>
        </w:tblCellMar>
      </w:tblPr>
      <w:tblGrid>
        <w:gridCol w:w="4036"/>
        <w:gridCol w:w="338"/>
        <w:gridCol w:w="952"/>
        <w:gridCol w:w="111"/>
        <w:gridCol w:w="401"/>
        <w:gridCol w:w="1129"/>
        <w:gridCol w:w="111"/>
        <w:gridCol w:w="258"/>
        <w:gridCol w:w="793"/>
        <w:gridCol w:w="15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562860" cy="175260"/>
                      <wp:effectExtent l="0" t="0" r="0" b="0"/>
                      <wp:wrapNone/>
                      <wp:docPr id="53" name="Frame5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4630" cy="175260"/>
                      <wp:effectExtent l="0" t="0" r="0" b="0"/>
                      <wp:wrapNone/>
                      <wp:docPr id="54" name="Frame5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04520" cy="175260"/>
                      <wp:effectExtent l="0" t="0" r="0" b="0"/>
                      <wp:wrapNone/>
                      <wp:docPr id="55" name="Frame54"/>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0485" cy="175260"/>
                      <wp:effectExtent l="0" t="0" r="0" b="0"/>
                      <wp:wrapNone/>
                      <wp:docPr id="56" name="Frame5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54635" cy="175260"/>
                      <wp:effectExtent l="0" t="0" r="0" b="0"/>
                      <wp:wrapNone/>
                      <wp:docPr id="57" name="Frame56"/>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716915" cy="175260"/>
                      <wp:effectExtent l="0" t="0" r="0" b="0"/>
                      <wp:wrapNone/>
                      <wp:docPr id="58" name="Frame57"/>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0485" cy="175260"/>
                      <wp:effectExtent l="0" t="0" r="0" b="0"/>
                      <wp:wrapNone/>
                      <wp:docPr id="59" name="Frame58"/>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3830" cy="175260"/>
                      <wp:effectExtent l="0" t="0" r="0" b="0"/>
                      <wp:wrapNone/>
                      <wp:docPr id="60" name="Frame5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3555" cy="175260"/>
                      <wp:effectExtent l="0" t="0" r="0" b="0"/>
                      <wp:wrapNone/>
                      <wp:docPr id="61" name="Frame6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7790" cy="175260"/>
                      <wp:effectExtent l="0" t="0" r="0" b="0"/>
                      <wp:wrapNone/>
                      <wp:docPr id="62" name="Frame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4093"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2026</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1" w:type="dxa"/>
            <w:tcBorders/>
            <w:vAlign w:val="center"/>
          </w:tcPr>
          <w:p>
            <w:pPr>
              <w:pStyle w:val="TableContents"/>
              <w:bidi w:val="0"/>
              <w:spacing w:lineRule="auto" w:line="285"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1"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center"/>
              <w:rPr/>
            </w:pPr>
            <w:r>
              <w:rPr/>
              <w:t>​</w:t>
            </w:r>
          </w:p>
        </w:tc>
        <w:tc>
          <w:tcPr>
            <w:tcW w:w="111" w:type="dxa"/>
            <w:tcBorders/>
            <w:shd w:fill="CCEEFF" w:val="clear"/>
            <w:vAlign w:val="center"/>
          </w:tcPr>
          <w:p>
            <w:pPr>
              <w:pStyle w:val="TableContents"/>
              <w:bidi w:val="0"/>
              <w:spacing w:lineRule="auto" w:line="285" w:before="0" w:after="0"/>
              <w:ind w:left="0" w:right="0" w:hanging="0"/>
              <w:jc w:val="center"/>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center"/>
              <w:rPr/>
            </w:pPr>
            <w:r>
              <w:rPr/>
              <w:t>​</w:t>
            </w:r>
          </w:p>
        </w:tc>
        <w:tc>
          <w:tcPr>
            <w:tcW w:w="111"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3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20,865</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11,643</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32,508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4,008</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vAlign w:val="center"/>
          </w:tcPr>
          <w:p>
            <w:pPr>
              <w:pStyle w:val="TableContents"/>
              <w:bidi w:val="0"/>
              <w:spacing w:lineRule="auto" w:line="285" w:before="0" w:after="0"/>
              <w:ind w:left="0" w:right="0" w:hanging="0"/>
              <w:jc w:val="left"/>
              <w:rPr/>
            </w:pPr>
            <w:r>
              <w:rPr/>
              <w:t>​</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24,873</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11,826</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36,699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52"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left"/>
              <w:rPr/>
            </w:pPr>
            <w:r>
              <w:rPr/>
              <w:t>​</w:t>
            </w:r>
          </w:p>
        </w:tc>
        <w:tc>
          <w:tcPr>
            <w:tcW w:w="1129"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13,882</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5,548</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19,430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4,008</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183</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4,191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38" w:type="dxa"/>
            <w:tcBorders/>
            <w:shd w:fill="CCEEFF" w:val="clear"/>
            <w:vAlign w:val="center"/>
          </w:tcPr>
          <w:p>
            <w:pPr>
              <w:pStyle w:val="TableContents"/>
              <w:bidi w:val="0"/>
              <w:spacing w:lineRule="auto" w:line="285" w:before="0" w:after="0"/>
              <w:ind w:left="0" w:right="0" w:hanging="0"/>
              <w:jc w:val="left"/>
              <w:rPr/>
            </w:pPr>
            <w:r>
              <w:rPr/>
              <w:t>​</w:t>
            </w:r>
          </w:p>
        </w:tc>
        <w:tc>
          <w:tcPr>
            <w:tcW w:w="9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17,890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left"/>
              <w:rPr/>
            </w:pPr>
            <w:r>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5,731</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23,621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2,476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2,941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1,766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1,997</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22,132</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6,427</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28,559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from operations</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2,741</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5,399</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8,140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(484)</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before income tax</w:t>
            </w:r>
          </w:p>
        </w:tc>
        <w:tc>
          <w:tcPr>
            <w:tcW w:w="338" w:type="dxa"/>
            <w:tcBorders/>
            <w:vAlign w:val="center"/>
          </w:tcPr>
          <w:p>
            <w:pPr>
              <w:pStyle w:val="TableContents"/>
              <w:bidi w:val="0"/>
              <w:spacing w:lineRule="auto" w:line="285" w:before="0" w:after="0"/>
              <w:ind w:left="0" w:right="0" w:hanging="0"/>
              <w:jc w:val="center"/>
              <w:rPr/>
            </w:pPr>
            <w:r>
              <w:rPr/>
              <w:t>​</w:t>
            </w:r>
          </w:p>
        </w:tc>
        <w:tc>
          <w:tcPr>
            <w:tcW w:w="95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2,286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vAlign w:val="center"/>
          </w:tcPr>
          <w:p>
            <w:pPr>
              <w:pStyle w:val="TableContents"/>
              <w:bidi w:val="0"/>
              <w:spacing w:lineRule="auto" w:line="285" w:before="0" w:after="0"/>
              <w:ind w:left="0" w:right="0" w:hanging="0"/>
              <w:jc w:val="center"/>
              <w:rPr/>
            </w:pPr>
            <w:r>
              <w:rPr/>
              <w:t>​</w:t>
            </w:r>
          </w:p>
        </w:tc>
        <w:tc>
          <w:tcPr>
            <w:tcW w:w="1129"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7,671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3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2,276</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5,385</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7,661</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loss:</w:t>
            </w:r>
          </w:p>
        </w:tc>
        <w:tc>
          <w:tcPr>
            <w:tcW w:w="338" w:type="dxa"/>
            <w:tcBorders/>
            <w:shd w:fill="CCEEFF" w:val="clear"/>
            <w:vAlign w:val="center"/>
          </w:tcPr>
          <w:p>
            <w:pPr>
              <w:pStyle w:val="TableContents"/>
              <w:bidi w:val="0"/>
              <w:spacing w:lineRule="auto" w:line="285" w:before="0" w:after="0"/>
              <w:ind w:left="0" w:right="0" w:hanging="0"/>
              <w:jc w:val="center"/>
              <w:rPr/>
            </w:pPr>
            <w:r>
              <w:rPr/>
              <w:t>​</w:t>
            </w:r>
          </w:p>
        </w:tc>
        <w:tc>
          <w:tcPr>
            <w:tcW w:w="952" w:type="dxa"/>
            <w:tcBorders/>
            <w:shd w:fill="CCEEFF" w:val="clear"/>
            <w:vAlign w:val="center"/>
          </w:tcPr>
          <w:p>
            <w:pPr>
              <w:pStyle w:val="TableContents"/>
              <w:bidi w:val="0"/>
              <w:spacing w:lineRule="auto" w:line="285" w:before="0" w:after="0"/>
              <w:ind w:left="0" w:right="0" w:hanging="0"/>
              <w:jc w:val="lef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0"/>
              <w:ind w:left="0" w:right="0" w:hanging="0"/>
              <w:jc w:val="center"/>
              <w:rPr/>
            </w:pPr>
            <w:r>
              <w:rPr/>
              <w:t>​</w:t>
            </w:r>
          </w:p>
        </w:tc>
        <w:tc>
          <w:tcPr>
            <w:tcW w:w="1129" w:type="dxa"/>
            <w:tcBorders/>
            <w:shd w:fill="CCEEFF" w:val="clear"/>
            <w:vAlign w:val="center"/>
          </w:tcPr>
          <w:p>
            <w:pPr>
              <w:pStyle w:val="TableContents"/>
              <w:bidi w:val="0"/>
              <w:spacing w:lineRule="auto" w:line="285" w:before="0" w:after="0"/>
              <w:ind w:left="0" w:right="0" w:hanging="0"/>
              <w:jc w:val="right"/>
              <w:rPr/>
            </w:pPr>
            <w:r>
              <w:rPr/>
              <w:t>​</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center"/>
              <w:rPr/>
            </w:pPr>
            <w:r>
              <w:rPr/>
              <w:t>​</w:t>
            </w:r>
          </w:p>
        </w:tc>
        <w:tc>
          <w:tcPr>
            <w:tcW w:w="793" w:type="dxa"/>
            <w:tcBorders/>
            <w:shd w:fill="CCEEFF" w:val="clear"/>
            <w:vAlign w:val="center"/>
          </w:tcPr>
          <w:p>
            <w:pPr>
              <w:pStyle w:val="TableContents"/>
              <w:bidi w:val="0"/>
              <w:spacing w:lineRule="auto" w:line="285" w:before="0" w:after="0"/>
              <w:ind w:left="0" w:right="0" w:hanging="0"/>
              <w:jc w:val="lef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(186)</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2,276</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5,199</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7,475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1"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3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5,225</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5,630</w:t>
            </w:r>
          </w:p>
        </w:tc>
        <w:tc>
          <w:tcPr>
            <w:tcW w:w="111"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10,855</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8281" w:type="dxa"/>
        <w:jc w:val="left"/>
        <w:tblInd w:w="0" w:type="dxa"/>
        <w:tblLayout w:type="fixed"/>
        <w:tblCellMar>
          <w:top w:w="0" w:type="dxa"/>
          <w:left w:w="0" w:type="dxa"/>
          <w:bottom w:w="0" w:type="dxa"/>
          <w:right w:w="0" w:type="dxa"/>
        </w:tblCellMar>
      </w:tblPr>
      <w:tblGrid>
        <w:gridCol w:w="4036"/>
        <w:gridCol w:w="339"/>
        <w:gridCol w:w="951"/>
        <w:gridCol w:w="110"/>
        <w:gridCol w:w="398"/>
        <w:gridCol w:w="1132"/>
        <w:gridCol w:w="110"/>
        <w:gridCol w:w="258"/>
        <w:gridCol w:w="793"/>
        <w:gridCol w:w="154"/>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562860" cy="175260"/>
                      <wp:effectExtent l="0" t="0" r="0" b="0"/>
                      <wp:wrapNone/>
                      <wp:docPr id="63" name="Frame6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5265" cy="175260"/>
                      <wp:effectExtent l="0" t="0" r="0" b="0"/>
                      <wp:wrapNone/>
                      <wp:docPr id="64" name="Frame6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03885" cy="175260"/>
                      <wp:effectExtent l="0" t="0" r="0" b="0"/>
                      <wp:wrapNone/>
                      <wp:docPr id="65" name="Frame64"/>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850" cy="175260"/>
                      <wp:effectExtent l="0" t="0" r="0" b="0"/>
                      <wp:wrapNone/>
                      <wp:docPr id="66" name="Frame65"/>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52730" cy="175260"/>
                      <wp:effectExtent l="0" t="0" r="0" b="0"/>
                      <wp:wrapNone/>
                      <wp:docPr id="67" name="Frame6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18820" cy="175260"/>
                      <wp:effectExtent l="0" t="0" r="0" b="0"/>
                      <wp:wrapNone/>
                      <wp:docPr id="68" name="Frame67"/>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850" cy="175260"/>
                      <wp:effectExtent l="0" t="0" r="0" b="0"/>
                      <wp:wrapNone/>
                      <wp:docPr id="69" name="Frame68"/>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63830" cy="175260"/>
                      <wp:effectExtent l="0" t="0" r="0" b="0"/>
                      <wp:wrapNone/>
                      <wp:docPr id="70" name="Frame6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3555" cy="175260"/>
                      <wp:effectExtent l="0" t="0" r="0" b="0"/>
                      <wp:wrapNone/>
                      <wp:docPr id="71" name="Frame7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97790" cy="175260"/>
                      <wp:effectExtent l="0" t="0" r="0" b="0"/>
                      <wp:wrapNone/>
                      <wp:docPr id="72" name="Frame7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409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USA Operations</w:t>
            </w:r>
          </w:p>
        </w:tc>
        <w:tc>
          <w:tcPr>
            <w:tcW w:w="110" w:type="dxa"/>
            <w:tcBorders/>
            <w:vAlign w:val="center"/>
          </w:tcPr>
          <w:p>
            <w:pPr>
              <w:pStyle w:val="TableContents"/>
              <w:bidi w:val="0"/>
              <w:spacing w:lineRule="auto" w:line="285" w:before="0" w:after="0"/>
              <w:ind w:left="0" w:right="0" w:hanging="0"/>
              <w:jc w:val="center"/>
              <w:rPr/>
            </w:pPr>
            <w:r>
              <w:rPr/>
              <w:t>​</w:t>
            </w:r>
          </w:p>
        </w:tc>
        <w:tc>
          <w:tcPr>
            <w:tcW w:w="15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Canada Operations</w:t>
            </w:r>
          </w:p>
        </w:tc>
        <w:tc>
          <w:tcPr>
            <w:tcW w:w="110" w:type="dxa"/>
            <w:tcBorders/>
            <w:vAlign w:val="center"/>
          </w:tcPr>
          <w:p>
            <w:pPr>
              <w:pStyle w:val="TableContents"/>
              <w:bidi w:val="0"/>
              <w:spacing w:lineRule="auto" w:line="285"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revenues</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center"/>
              <w:rPr/>
            </w:pPr>
            <w:r>
              <w:rPr/>
              <w:t>​</w:t>
            </w:r>
          </w:p>
        </w:tc>
        <w:tc>
          <w:tcPr>
            <w:tcW w:w="110" w:type="dxa"/>
            <w:tcBorders/>
            <w:shd w:fill="CCEEFF" w:val="clear"/>
            <w:vAlign w:val="center"/>
          </w:tcPr>
          <w:p>
            <w:pPr>
              <w:pStyle w:val="TableContents"/>
              <w:bidi w:val="0"/>
              <w:spacing w:lineRule="auto" w:line="285" w:before="0" w:after="0"/>
              <w:ind w:left="0" w:right="0" w:hanging="0"/>
              <w:jc w:val="center"/>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center"/>
              <w:rPr/>
            </w:pPr>
            <w:r>
              <w:rPr/>
              <w:t>​</w:t>
            </w:r>
          </w:p>
        </w:tc>
        <w:tc>
          <w:tcPr>
            <w:tcW w:w="110" w:type="dxa"/>
            <w:tcBorders/>
            <w:shd w:fill="CCEEFF" w:val="clear"/>
            <w:vAlign w:val="center"/>
          </w:tcPr>
          <w:p>
            <w:pPr>
              <w:pStyle w:val="TableContents"/>
              <w:bidi w:val="0"/>
              <w:spacing w:lineRule="auto" w:line="285" w:before="0" w:after="0"/>
              <w:ind w:left="0" w:right="0" w:hanging="0"/>
              <w:jc w:val="center"/>
              <w:rPr/>
            </w:pPr>
            <w:r>
              <w:rPr/>
              <w:t>​</w:t>
            </w:r>
          </w:p>
        </w:tc>
        <w:tc>
          <w:tcPr>
            <w:tcW w:w="258"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793"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revenue</w:t>
            </w:r>
          </w:p>
        </w:tc>
        <w:tc>
          <w:tcPr>
            <w:tcW w:w="339"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2,726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12,533</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15,259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revenue</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570</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left"/>
              <w:rPr/>
            </w:pPr>
            <w:r>
              <w:rPr/>
              <w:t>​</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3,296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12,782</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16,078</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0"/>
              <w:ind w:left="0" w:right="0" w:hanging="0"/>
              <w:jc w:val="lef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lef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costs:</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Fee operating expenses</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4,615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6,345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10,960</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Reimbursable operating expenses</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570</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249</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819</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5,185</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6,594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11,779</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1,555</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1,994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1,077</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1,271</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7,817</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7,227</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15,044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from operations</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(4,521)</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5,555</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1,034</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income (expense):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39" w:type="dxa"/>
            <w:tcBorders/>
            <w:shd w:fill="CCEEFF" w:val="clear"/>
            <w:vAlign w:val="center"/>
          </w:tcPr>
          <w:p>
            <w:pPr>
              <w:pStyle w:val="TableContents"/>
              <w:bidi w:val="0"/>
              <w:spacing w:lineRule="auto" w:line="285" w:before="0" w:after="0"/>
              <w:ind w:left="0" w:right="0" w:hanging="0"/>
              <w:jc w:val="center"/>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center"/>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left"/>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income before income tax</w:t>
            </w:r>
          </w:p>
        </w:tc>
        <w:tc>
          <w:tcPr>
            <w:tcW w:w="339" w:type="dxa"/>
            <w:tcBorders/>
            <w:vAlign w:val="center"/>
          </w:tcPr>
          <w:p>
            <w:pPr>
              <w:pStyle w:val="TableContents"/>
              <w:bidi w:val="0"/>
              <w:spacing w:lineRule="auto" w:line="285" w:before="0" w:after="0"/>
              <w:ind w:left="0" w:right="0" w:hanging="0"/>
              <w:jc w:val="center"/>
              <w:rPr/>
            </w:pPr>
            <w:r>
              <w:rPr/>
              <w:t>​</w:t>
            </w:r>
          </w:p>
        </w:tc>
        <w:tc>
          <w:tcPr>
            <w:tcW w:w="951"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(4,543)</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vAlign w:val="center"/>
          </w:tcPr>
          <w:p>
            <w:pPr>
              <w:pStyle w:val="TableContents"/>
              <w:bidi w:val="0"/>
              <w:spacing w:lineRule="auto" w:line="285" w:before="0" w:after="0"/>
              <w:ind w:left="0" w:right="0" w:hanging="0"/>
              <w:jc w:val="center"/>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vAlign w:val="center"/>
          </w:tcPr>
          <w:p>
            <w:pPr>
              <w:pStyle w:val="TableContents"/>
              <w:bidi w:val="0"/>
              <w:spacing w:lineRule="auto" w:line="285" w:before="0" w:after="0"/>
              <w:ind w:left="0" w:right="0" w:hanging="0"/>
              <w:jc w:val="center"/>
              <w:rPr/>
            </w:pPr>
            <w:r>
              <w:rPr/>
              <w:t>​</w:t>
            </w:r>
          </w:p>
        </w:tc>
        <w:tc>
          <w:tcPr>
            <w:tcW w:w="79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995</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Income tax expense</w:t>
            </w:r>
          </w:p>
        </w:tc>
        <w:tc>
          <w:tcPr>
            <w:tcW w:w="3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9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113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income</w:t>
            </w:r>
          </w:p>
        </w:tc>
        <w:tc>
          <w:tcPr>
            <w:tcW w:w="33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(4,546)</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992</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loss:</w:t>
            </w:r>
          </w:p>
        </w:tc>
        <w:tc>
          <w:tcPr>
            <w:tcW w:w="339" w:type="dxa"/>
            <w:tcBorders/>
            <w:shd w:fill="CCEEFF" w:val="clear"/>
            <w:vAlign w:val="center"/>
          </w:tcPr>
          <w:p>
            <w:pPr>
              <w:pStyle w:val="TableContents"/>
              <w:bidi w:val="0"/>
              <w:spacing w:lineRule="auto" w:line="285" w:before="0" w:after="0"/>
              <w:ind w:left="0" w:right="0" w:hanging="0"/>
              <w:jc w:val="left"/>
              <w:rPr/>
            </w:pPr>
            <w:r>
              <w:rPr/>
              <w:t>​</w:t>
            </w:r>
          </w:p>
        </w:tc>
        <w:tc>
          <w:tcPr>
            <w:tcW w:w="951"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pPr>
            <w:r>
              <w:rPr/>
              <w:t>​</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shd w:fill="CCEEFF" w:val="clear"/>
            <w:vAlign w:val="center"/>
          </w:tcPr>
          <w:p>
            <w:pPr>
              <w:pStyle w:val="TableContents"/>
              <w:bidi w:val="0"/>
              <w:spacing w:lineRule="auto" w:line="285" w:before="0" w:after="0"/>
              <w:ind w:left="0" w:right="0" w:hanging="0"/>
              <w:jc w:val="left"/>
              <w:rPr/>
            </w:pPr>
            <w:r>
              <w:rPr/>
              <w:t>​</w:t>
            </w:r>
          </w:p>
        </w:tc>
        <w:tc>
          <w:tcPr>
            <w:tcW w:w="793"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right"/>
              <w:rPr/>
            </w:pPr>
            <w:r>
              <w:rPr/>
              <w:t>​</w:t>
            </w:r>
          </w:p>
        </w:tc>
      </w:tr>
      <w:tr>
        <w:trPr/>
        <w:tc>
          <w:tcPr>
            <w:tcW w:w="4036"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Net unrealized loss on foreign exchange rate translation</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154" w:type="dxa"/>
            <w:tcBorders/>
            <w:vAlign w:val="center"/>
          </w:tcPr>
          <w:p>
            <w:pPr>
              <w:pStyle w:val="TableContents"/>
              <w:bidi w:val="0"/>
              <w:spacing w:lineRule="auto" w:line="285" w:before="0" w:after="0"/>
              <w:ind w:left="0" w:right="0" w:hanging="0"/>
              <w:jc w:val="righ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 income</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(4,546)</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5,508</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962</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403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0" w:type="dxa"/>
            <w:tcBorders/>
            <w:vAlign w:val="center"/>
          </w:tcPr>
          <w:p>
            <w:pPr>
              <w:pStyle w:val="TableContents"/>
              <w:bidi w:val="0"/>
              <w:spacing w:lineRule="auto" w:line="285"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40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Adjusted EBITDA</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9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(3,403)</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11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5,741</w:t>
            </w:r>
          </w:p>
        </w:tc>
        <w:tc>
          <w:tcPr>
            <w:tcW w:w="110" w:type="dxa"/>
            <w:tcBorders/>
            <w:shd w:fill="CCEEFF" w:val="clear"/>
            <w:vAlign w:val="center"/>
          </w:tcPr>
          <w:p>
            <w:pPr>
              <w:pStyle w:val="TableContents"/>
              <w:bidi w:val="0"/>
              <w:spacing w:lineRule="auto" w:line="285"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 xml:space="preserve">$ </w:t>
            </w:r>
          </w:p>
        </w:tc>
        <w:tc>
          <w:tcPr>
            <w:tcW w:w="79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2,338</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font-weight:bold"/>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3608</Words>
  <Characters>20448</Characters>
  <CharactersWithSpaces>24968</CharactersWithSpaces>
  <Paragraphs>2290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