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dwsn-20250930x10q.htm"/>
        <w:bookmarkStart w:id="1" w:name="ksdwsn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lineRule="auto" w:line="285" w:before="0" w:after="0"/>
        <w:ind w:left="0" w:right="0" w:hanging="0"/>
        <w:jc w:val="center"/>
        <w:rPr>
          <w:bdr w:val="single" w:sz="24" w:space="1" w:color="000000"/>
        </w:rPr>
      </w:pPr>
      <w:r>
        <w:rPr>
          <w:bdr w:val="single" w:sz="24" w:space="1" w:color="000000"/>
        </w:rPr>
        <w:t>​</w:t>
      </w:r>
    </w:p>
    <w:p>
      <w:pPr>
        <w:pStyle w:val="TextBody"/>
        <w:bidi w:val="0"/>
        <w:spacing w:lineRule="auto" w:line="285" w:before="0" w:after="0"/>
        <w:ind w:left="0" w:right="0" w:hanging="0"/>
        <w:jc w:val="center"/>
        <w:rPr>
          <w:rFonts w:ascii="Times New Roman;Times;serif" w:hAnsi="Times New Roman;Times;serif"/>
          <w:b/>
          <w:sz w:val="34"/>
        </w:rPr>
      </w:pPr>
      <w:bookmarkStart w:id="2" w:name="_33681e17_6d73_4a73_afb6_0d02d3977305"/>
      <w:bookmarkEnd w:id="2"/>
      <w:r>
        <w:rPr>
          <w:rFonts w:ascii="Times New Roman;Times;serif" w:hAnsi="Times New Roman;Times;serif"/>
          <w:b/>
          <w:sz w:val="34"/>
        </w:rPr>
        <w:t>UNITED STATES</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jc w:val="both"/>
              <w:rPr/>
            </w:pPr>
            <w:r>
              <w:rPr/>
              <w:t>☒</w:t>
            </w:r>
          </w:p>
        </w:tc>
        <w:tc>
          <w:tcPr>
            <w:tcW w:w="9874"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2025</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jc w:val="both"/>
              <w:rPr/>
            </w:pPr>
            <w:r>
              <w:rPr/>
              <w:t>☐</w:t>
            </w:r>
          </w:p>
        </w:tc>
        <w:tc>
          <w:tcPr>
            <w:tcW w:w="9874"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No. 001-32472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4"/>
        </w:rPr>
      </w:pPr>
      <w:r>
        <w:rPr>
          <w:rFonts w:ascii="Times New Roman;Times;serif" w:hAnsi="Times New Roman;Times;serif"/>
          <w:b/>
          <w:sz w:val="34"/>
        </w:rPr>
        <w:t>DAWSON GEOPHYSICAL COMPANY</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Lrz6zSckfkSRpW2j9ADq0A_3_2"/>
      <w:bookmarkStart w:id="4" w:name="Tc_lzQ3Q5wexki2N7F-_FjMeA_3_0"/>
      <w:bookmarkStart w:id="5" w:name="Tc_u_ZGZRZbikeFdvhVK3_WfA_2_2"/>
      <w:bookmarkStart w:id="6" w:name="Tc_8LJUbiqpzkucKIHYMWkImw_2_0"/>
      <w:bookmarkStart w:id="7" w:name="_098a7780_18d2_4226_ac6e_359fbf6333d1"/>
      <w:bookmarkStart w:id="8" w:name="Tc_Lrz6zSckfkSRpW2j9ADq0A_3_2"/>
      <w:bookmarkStart w:id="9" w:name="Tc_lzQ3Q5wexki2N7F-_FjMeA_3_0"/>
      <w:bookmarkStart w:id="10" w:name="Tc_u_ZGZRZbikeFdvhVK3_WfA_2_2"/>
      <w:bookmarkStart w:id="11" w:name="Tc_8LJUbiqpzkucKIHYMWkImw_2_0"/>
      <w:bookmarkStart w:id="12" w:name="_098a7780_18d2_4226_ac6e_359fbf6333d1"/>
      <w:bookmarkEnd w:id="8"/>
      <w:bookmarkEnd w:id="9"/>
      <w:bookmarkEnd w:id="10"/>
      <w:bookmarkEnd w:id="11"/>
      <w:bookmarkEnd w:id="12"/>
    </w:p>
    <w:tbl>
      <w:tblPr>
        <w:tblW w:w="4018" w:type="dxa"/>
        <w:jc w:val="left"/>
        <w:tblInd w:w="0" w:type="dxa"/>
        <w:tblLayout w:type="fixed"/>
        <w:tblCellMar>
          <w:top w:w="0" w:type="dxa"/>
          <w:left w:w="0" w:type="dxa"/>
          <w:bottom w:w="0" w:type="dxa"/>
          <w:right w:w="0" w:type="dxa"/>
        </w:tblCellMar>
      </w:tblPr>
      <w:tblGrid>
        <w:gridCol w:w="2236"/>
        <w:gridCol w:w="326"/>
        <w:gridCol w:w="1456"/>
      </w:tblGrid>
      <w:tr>
        <w:trPr/>
        <w:tc>
          <w:tcPr>
            <w:tcW w:w="22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lineRule="auto" w:line="285" w:before="0" w:after="0"/>
              <w:ind w:left="0" w:right="0" w:hanging="0"/>
              <w:jc w:val="left"/>
              <w:rPr/>
            </w:pPr>
            <w:r>
              <w:rPr/>
              <w:t>​</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Texas</w:t>
            </w:r>
          </w:p>
        </w:tc>
        <w:tc>
          <w:tcPr>
            <w:tcW w:w="326" w:type="dxa"/>
            <w:tcBorders/>
            <w:vAlign w:val="center"/>
          </w:tcPr>
          <w:p>
            <w:pPr>
              <w:pStyle w:val="TableContents"/>
              <w:bidi w:val="0"/>
              <w:spacing w:lineRule="auto" w:line="285" w:before="0" w:after="0"/>
              <w:ind w:left="0" w:right="0" w:hanging="0"/>
              <w:jc w:val="left"/>
              <w:rPr/>
            </w:pPr>
            <w:r>
              <w:rPr/>
              <w:t>    </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74-2095844</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r>
          </w:p>
        </w:tc>
        <w:tc>
          <w:tcPr>
            <w:tcW w:w="326" w:type="dxa"/>
            <w:tcBorders/>
            <w:vAlign w:val="center"/>
          </w:tcPr>
          <w:p>
            <w:pPr>
              <w:pStyle w:val="TableContents"/>
              <w:bidi w:val="0"/>
              <w:spacing w:lineRule="auto" w:line="285" w:before="0" w:after="0"/>
              <w:ind w:left="0" w:right="0" w:hanging="0"/>
              <w:jc w:val="left"/>
              <w:rPr/>
            </w:pPr>
            <w:r>
              <w:rPr/>
              <w:t>​</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vAlign w:val="center"/>
          </w:tcPr>
          <w:p>
            <w:pPr>
              <w:pStyle w:val="TableContents"/>
              <w:bidi w:val="0"/>
              <w:spacing w:lineRule="auto" w:line="285" w:before="0" w:after="0"/>
              <w:ind w:left="0" w:right="0" w:hanging="0"/>
              <w:jc w:val="left"/>
              <w:rPr/>
            </w:pPr>
            <w:r>
              <w:rPr/>
              <w:t>​</w:t>
            </w:r>
          </w:p>
        </w:tc>
        <w:tc>
          <w:tcPr>
            <w:tcW w:w="145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b/>
          <w:sz w:val="18"/>
        </w:rPr>
        <w:t>508 West Wall, Suite 800, Midland, Texas</w:t>
      </w:r>
      <w:r>
        <w:rPr>
          <w:rFonts w:ascii="Times New Roman;Times;serif" w:hAnsi="Times New Roman;Times;serif"/>
          <w:sz w:val="20"/>
        </w:rPr>
        <w:t xml:space="preserve"> </w:t>
      </w:r>
      <w:r>
        <w:rPr>
          <w:rFonts w:ascii="Times New Roman;Times;serif" w:hAnsi="Times New Roman;Times;serif"/>
          <w:b/>
          <w:sz w:val="18"/>
        </w:rPr>
        <w:t>79701</w:t>
      </w:r>
    </w:p>
    <w:p>
      <w:pPr>
        <w:pStyle w:val="TextBody"/>
        <w:bidi w:val="0"/>
        <w:spacing w:lineRule="auto" w:line="285" w:before="0" w:after="8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w:t>
      </w:r>
      <w:r>
        <w:rPr>
          <w:rFonts w:ascii="Times New Roman;Times;serif" w:hAnsi="Times New Roman;Times;serif"/>
          <w:b/>
          <w:sz w:val="18"/>
        </w:rPr>
        <w:t>)</w:t>
      </w:r>
      <w:r>
        <w:rPr>
          <w:rFonts w:ascii="Times New Roman;Times;serif" w:hAnsi="Times New Roman;Times;serif"/>
          <w:sz w:val="18"/>
        </w:rPr>
        <w:t xml:space="preserve"> (Zip Code)</w:t>
      </w:r>
    </w:p>
    <w:p>
      <w:pPr>
        <w:pStyle w:val="TextBody"/>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18"/>
        </w:rPr>
        <w:t>Registrant’s Telephone Number</w:t>
      </w:r>
      <w:r>
        <w:rPr>
          <w:rFonts w:ascii="Times New Roman;Times;serif" w:hAnsi="Times New Roman;Times;serif"/>
          <w:b/>
          <w:sz w:val="18"/>
        </w:rPr>
        <w:t>,</w:t>
      </w:r>
      <w:r>
        <w:rPr>
          <w:rFonts w:ascii="Times New Roman;Times;serif" w:hAnsi="Times New Roman;Times;serif"/>
          <w:sz w:val="20"/>
        </w:rPr>
        <w:t xml:space="preserve"> </w:t>
      </w:r>
      <w:r>
        <w:rPr>
          <w:rFonts w:ascii="Times New Roman;Times;serif" w:hAnsi="Times New Roman;Times;serif"/>
          <w:sz w:val="18"/>
        </w:rPr>
        <w:t xml:space="preserve">Including Area Code: </w:t>
      </w:r>
      <w:r>
        <w:rPr>
          <w:rFonts w:ascii="Times New Roman;Times;serif" w:hAnsi="Times New Roman;Times;serif"/>
          <w:b/>
          <w:sz w:val="18"/>
        </w:rPr>
        <w:t>432-684-3000</w:t>
      </w:r>
    </w:p>
    <w:p>
      <w:pPr>
        <w:pStyle w:val="TextBody"/>
        <w:bidi w:val="0"/>
        <w:spacing w:lineRule="auto" w:line="285" w:before="0" w:after="4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3" w:name="Tc_zvkCeRdzyEipJDO8sAoySA_2_1"/>
      <w:bookmarkStart w:id="14" w:name="Tc_fbTcfrQqXUWZWji7kx6N5A_1_2"/>
      <w:bookmarkStart w:id="15" w:name="Tc_VB1OippW9k2lx2LrovK9ag_1_1"/>
      <w:bookmarkStart w:id="16" w:name="Tc_uDcs9v2H0UaGeKNnws0WYg_1_0"/>
      <w:bookmarkStart w:id="17" w:name="_a42ac372_c876_4e68_b506_22425353f1c1"/>
      <w:bookmarkStart w:id="18" w:name="Tc_zvkCeRdzyEipJDO8sAoySA_2_1"/>
      <w:bookmarkStart w:id="19" w:name="Tc_fbTcfrQqXUWZWji7kx6N5A_1_2"/>
      <w:bookmarkStart w:id="20" w:name="Tc_VB1OippW9k2lx2LrovK9ag_1_1"/>
      <w:bookmarkStart w:id="21" w:name="Tc_uDcs9v2H0UaGeKNnws0WYg_1_0"/>
      <w:bookmarkStart w:id="22" w:name="_a42ac372_c876_4e68_b506_22425353f1c1"/>
      <w:bookmarkEnd w:id="18"/>
      <w:bookmarkEnd w:id="19"/>
      <w:bookmarkEnd w:id="20"/>
      <w:bookmarkEnd w:id="21"/>
      <w:bookmarkEnd w:id="22"/>
    </w:p>
    <w:tbl>
      <w:tblPr>
        <w:tblW w:w="7188" w:type="dxa"/>
        <w:jc w:val="left"/>
        <w:tblInd w:w="0" w:type="dxa"/>
        <w:tblLayout w:type="fixed"/>
        <w:tblCellMar>
          <w:top w:w="0" w:type="dxa"/>
          <w:left w:w="0" w:type="dxa"/>
          <w:bottom w:w="0" w:type="dxa"/>
          <w:right w:w="0" w:type="dxa"/>
        </w:tblCellMar>
      </w:tblPr>
      <w:tblGrid>
        <w:gridCol w:w="2581"/>
        <w:gridCol w:w="3196"/>
        <w:gridCol w:w="1411"/>
      </w:tblGrid>
      <w:tr>
        <w:trPr/>
        <w:tc>
          <w:tcPr>
            <w:tcW w:w="2581" w:type="dxa"/>
            <w:tcBorders/>
            <w:vAlign w:val="center"/>
          </w:tcPr>
          <w:p>
            <w:pPr>
              <w:pStyle w:val="TableContents"/>
              <w:bidi w:val="0"/>
              <w:spacing w:lineRule="auto" w:line="285" w:before="0" w:after="0"/>
              <w:ind w:left="0" w:right="0" w:hanging="0"/>
              <w:jc w:val="left"/>
              <w:rPr/>
            </w:pPr>
            <w:r>
              <w:rPr/>
              <w:t>​</w:t>
            </w:r>
          </w:p>
        </w:tc>
        <w:tc>
          <w:tcPr>
            <w:tcW w:w="3196" w:type="dxa"/>
            <w:tcBorders/>
            <w:vAlign w:val="center"/>
          </w:tcPr>
          <w:p>
            <w:pPr>
              <w:pStyle w:val="TableContents"/>
              <w:bidi w:val="0"/>
              <w:spacing w:lineRule="auto" w:line="285" w:before="0" w:after="0"/>
              <w:ind w:left="0" w:right="0" w:hanging="0"/>
              <w:jc w:val="left"/>
              <w:rPr/>
            </w:pPr>
            <w:r>
              <w:rPr/>
              <w:t>​</w:t>
            </w:r>
          </w:p>
        </w:tc>
        <w:tc>
          <w:tcPr>
            <w:tcW w:w="1411" w:type="dxa"/>
            <w:tcBorders/>
            <w:vAlign w:val="center"/>
          </w:tcPr>
          <w:p>
            <w:pPr>
              <w:pStyle w:val="TableContents"/>
              <w:bidi w:val="0"/>
              <w:spacing w:lineRule="auto" w:line="285" w:before="0" w:after="0"/>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196"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Name of Exchange on Which Registered</w:t>
            </w:r>
          </w:p>
        </w:tc>
        <w:tc>
          <w:tcPr>
            <w:tcW w:w="1411" w:type="dxa"/>
            <w:tcBorders>
              <w:bottom w:val="single" w:sz="2" w:space="0" w:color="000000"/>
            </w:tcBorders>
            <w:tcMar>
              <w:bottom w:w="28" w:type="dxa"/>
            </w:tcMar>
            <w:vAlign w:val="center"/>
          </w:tcPr>
          <w:p>
            <w:pPr>
              <w:pStyle w:val="TableContents"/>
              <w:bidi w:val="0"/>
              <w:spacing w:lineRule="auto" w:line="285" w:before="0" w:after="40"/>
              <w:ind w:left="0" w:right="0" w:hanging="0"/>
              <w:jc w:val="center"/>
              <w:rPr>
                <w:rFonts w:ascii="Times New Roman;Times;serif" w:hAnsi="Times New Roman;Times;serif"/>
                <w:b/>
                <w:sz w:val="18"/>
              </w:rPr>
            </w:pPr>
            <w:r>
              <w:rPr>
                <w:rFonts w:ascii="Times New Roman;Times;serif" w:hAnsi="Times New Roman;Times;serif"/>
                <w:b/>
                <w:sz w:val="18"/>
              </w:rPr>
              <w:t>Trading Symbol</w:t>
            </w:r>
          </w:p>
        </w:tc>
      </w:tr>
      <w:tr>
        <w:trPr/>
        <w:tc>
          <w:tcPr>
            <w:tcW w:w="258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$0.01 par value</w:t>
            </w:r>
          </w:p>
        </w:tc>
        <w:tc>
          <w:tcPr>
            <w:tcW w:w="319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8"/>
              </w:rPr>
              <w:t>The NASDAQ</w:t>
            </w:r>
            <w:r>
              <w:rPr>
                <w:rFonts w:ascii="Times New Roman;Times;serif" w:hAnsi="Times New Roman;Times;serif"/>
                <w:sz w:val="20"/>
              </w:rPr>
              <w:t xml:space="preserve"> </w:t>
            </w:r>
            <w:r>
              <w:rPr>
                <w:rFonts w:ascii="Times New Roman;Times;serif" w:hAnsi="Times New Roman;Times;serif"/>
                <w:b/>
                <w:sz w:val="18"/>
              </w:rPr>
              <w:t>Stock Market</w:t>
            </w:r>
          </w:p>
        </w:tc>
        <w:tc>
          <w:tcPr>
            <w:tcW w:w="141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DWSN</w:t>
            </w:r>
          </w:p>
        </w:tc>
      </w:tr>
    </w:tbl>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33" w:type="dxa"/>
        <w:jc w:val="left"/>
        <w:tblInd w:w="0" w:type="dxa"/>
        <w:tblLayout w:type="fixed"/>
        <w:tblCellMar>
          <w:top w:w="0" w:type="dxa"/>
          <w:left w:w="0" w:type="dxa"/>
          <w:bottom w:w="0" w:type="dxa"/>
          <w:right w:w="0" w:type="dxa"/>
        </w:tblCellMar>
      </w:tblPr>
      <w:tblGrid>
        <w:gridCol w:w="1771"/>
        <w:gridCol w:w="2266"/>
        <w:gridCol w:w="2296"/>
      </w:tblGrid>
      <w:tr>
        <w:trPr/>
        <w:tc>
          <w:tcPr>
            <w:tcW w:w="1771" w:type="dxa"/>
            <w:tcBorders/>
            <w:vAlign w:val="center"/>
          </w:tcPr>
          <w:p>
            <w:pPr>
              <w:pStyle w:val="TableContents"/>
              <w:bidi w:val="0"/>
              <w:spacing w:lineRule="auto" w:line="285" w:before="0" w:after="0"/>
              <w:ind w:left="0" w:right="0" w:hanging="0"/>
              <w:jc w:val="left"/>
              <w:rPr/>
            </w:pPr>
            <w:r>
              <w:rPr/>
              <w:t>​</w: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38910" cy="175260"/>
                      <wp:effectExtent l="0" t="0" r="0" b="0"/>
                      <wp:wrapNone/>
                      <wp:docPr id="2" name="Frame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226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229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center"/>
              <w:rPr/>
            </w:pPr>
            <w:r>
              <w:rPr/>
              <w:t>​</w:t>
            </w:r>
          </w:p>
        </w:tc>
        <w:tc>
          <w:tcPr>
            <w:tcW w:w="2266" w:type="dxa"/>
            <w:tcBorders/>
            <w:vAlign w:val="center"/>
          </w:tcPr>
          <w:p>
            <w:pPr>
              <w:pStyle w:val="TableContents"/>
              <w:bidi w:val="0"/>
              <w:spacing w:lineRule="auto" w:line="285" w:before="0" w:after="0"/>
              <w:ind w:left="0" w:right="0" w:hanging="0"/>
              <w:jc w:val="left"/>
              <w:rPr/>
            </w:pPr>
            <w:r>
              <w:rPr/>
              <w:t>​</w:t>
            </w:r>
          </w:p>
        </w:tc>
        <w:tc>
          <w:tcPr>
            <w:tcW w:w="2296" w:type="dxa"/>
            <w:tcBorders/>
            <w:vAlign w:val="center"/>
          </w:tcPr>
          <w:p>
            <w:pPr>
              <w:pStyle w:val="TableContents"/>
              <w:bidi w:val="0"/>
              <w:spacing w:lineRule="auto" w:line="285" w:before="0" w:after="0"/>
              <w:ind w:left="0" w:right="0" w:hanging="0"/>
              <w:jc w:val="center"/>
              <w:rPr/>
            </w:pPr>
            <w:r>
              <w:rPr/>
              <w:t>​</w:t>
            </w:r>
          </w:p>
        </w:tc>
      </w:tr>
      <w:tr>
        <w:trPr/>
        <w:tc>
          <w:tcPr>
            <w:tcW w:w="177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22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c>
          <w:tcPr>
            <w:tcW w:w="2296"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80" w:after="80"/>
        <w:ind w:left="0" w:right="0" w:firstLine="43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80"/>
        <w:ind w:left="0" w:right="0" w:firstLine="43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lineRule="auto" w:line="285" w:before="0" w:after="80"/>
        <w:ind w:left="0" w:right="0" w:firstLine="432"/>
        <w:jc w:val="left"/>
        <w:rPr>
          <w:rFonts w:ascii="Times New Roman;Times;serif" w:hAnsi="Times New Roman;Times;serif"/>
          <w:sz w:val="18"/>
        </w:rPr>
      </w:pPr>
      <w:r>
        <w:rPr>
          <w:rFonts w:ascii="Times New Roman;Times;serif" w:hAnsi="Times New Roman;Times;serif"/>
          <w:sz w:val="18"/>
        </w:rPr>
        <w:t>Indicate the number of shares outstanding of each of the registrant’s classes of common stock, as of the latest practicable date.</w:t>
      </w:r>
    </w:p>
    <w:tbl>
      <w:tblPr>
        <w:tblW w:w="5578" w:type="dxa"/>
        <w:jc w:val="left"/>
        <w:tblInd w:w="0" w:type="dxa"/>
        <w:tblLayout w:type="fixed"/>
        <w:tblCellMar>
          <w:top w:w="0" w:type="dxa"/>
          <w:left w:w="0" w:type="dxa"/>
          <w:bottom w:w="0" w:type="dxa"/>
          <w:right w:w="0" w:type="dxa"/>
        </w:tblCellMar>
      </w:tblPr>
      <w:tblGrid>
        <w:gridCol w:w="2416"/>
        <w:gridCol w:w="326"/>
        <w:gridCol w:w="2836"/>
      </w:tblGrid>
      <w:tr>
        <w:trPr/>
        <w:tc>
          <w:tcPr>
            <w:tcW w:w="24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836" w:type="dxa"/>
            <w:tcBorders/>
            <w:vAlign w:val="center"/>
          </w:tcPr>
          <w:p>
            <w:pPr>
              <w:pStyle w:val="TableContents"/>
              <w:bidi w:val="0"/>
              <w:spacing w:lineRule="auto" w:line="285" w:before="0" w:after="0"/>
              <w:ind w:left="0" w:right="0" w:hanging="0"/>
              <w:jc w:val="left"/>
              <w:rPr/>
            </w:pPr>
            <w:r>
              <w:rPr/>
              <w:t>​</w:t>
            </w:r>
          </w:p>
        </w:tc>
      </w:tr>
      <w:tr>
        <w:trPr/>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lineRule="auto" w:line="285" w:before="0" w:after="0"/>
              <w:ind w:left="0" w:right="0" w:hanging="0"/>
              <w:jc w:val="left"/>
              <w:rPr/>
            </w:pPr>
            <w:r>
              <w:rPr/>
              <w:t>    </w:t>
            </w:r>
          </w:p>
        </w:tc>
        <w:tc>
          <w:tcPr>
            <w:tcW w:w="28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Outstanding at November 10, 2025</w:t>
            </w:r>
          </w:p>
        </w:tc>
      </w:tr>
      <w:tr>
        <w:trPr/>
        <w:tc>
          <w:tcPr>
            <w:tcW w:w="2416" w:type="dxa"/>
            <w:tcBorders>
              <w:top w:val="single" w:sz="2" w:space="0" w:color="000000"/>
            </w:tcBorders>
            <w:tcMar>
              <w:top w:w="28" w:type="dxa"/>
            </w:tcMar>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Common Stock, $0.01 par value</w:t>
            </w:r>
          </w:p>
        </w:tc>
        <w:tc>
          <w:tcPr>
            <w:tcW w:w="326" w:type="dxa"/>
            <w:tcBorders/>
            <w:vAlign w:val="center"/>
          </w:tcPr>
          <w:p>
            <w:pPr>
              <w:pStyle w:val="TableContents"/>
              <w:bidi w:val="0"/>
              <w:spacing w:lineRule="auto" w:line="285" w:before="0" w:after="0"/>
              <w:ind w:left="0" w:right="0" w:hanging="0"/>
              <w:jc w:val="left"/>
              <w:rPr/>
            </w:pPr>
            <w:r>
              <w:rPr/>
              <w:t>​</w:t>
            </w:r>
          </w:p>
        </w:tc>
        <w:tc>
          <w:tcPr>
            <w:tcW w:w="283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31,047,801 shares</w:t>
            </w:r>
          </w:p>
        </w:tc>
      </w:tr>
    </w:tbl>
    <w:p>
      <w:pPr>
        <w:pStyle w:val="TextBody"/>
        <w:bidi w:val="0"/>
        <w:spacing w:lineRule="auto" w:line="285" w:before="0" w:after="0"/>
        <w:ind w:left="0" w:right="0" w:hanging="0"/>
        <w:jc w:val="left"/>
        <w:rPr/>
      </w:pPr>
      <w:r>
        <w:rPr/>
        <w:t>​</w:t>
      </w:r>
    </w:p>
    <w:p>
      <w:pPr>
        <w:pStyle w:val="TextBody"/>
        <w:pBdr>
          <w:bottom w:val="single" w:sz="8" w:space="1" w:color="000000"/>
        </w:pBdr>
        <w:bidi w:val="0"/>
        <w:spacing w:lineRule="auto" w:line="285" w:before="0" w:after="0"/>
        <w:ind w:left="0" w:right="0" w:hanging="0"/>
        <w:jc w:val="left"/>
        <w:rPr>
          <w:bdr w:val="single" w:sz="24" w:space="1" w:color="000000"/>
        </w:rPr>
      </w:pPr>
      <w:r>
        <w:rPr>
          <w:bdr w:val="single" w:sz="24" w:space="1" w:color="000000"/>
        </w:rPr>
        <w:t>​</w:t>
      </w:r>
    </w:p>
    <w:p>
      <w:pPr>
        <w:pStyle w:val="TextBody"/>
        <w:bidi w:val="0"/>
        <w:spacing w:lineRule="auto" w:line="285" w:before="0" w:after="0"/>
        <w:ind w:left="0" w:right="0" w:hanging="0"/>
        <w:jc w:val="left"/>
        <w:rPr/>
      </w:pPr>
      <w:r>
        <w:rPr/>
        <w:t>​</w:t>
      </w:r>
    </w:p>
    <w:p>
      <w:pPr>
        <w:pStyle w:val="TextBody"/>
        <w:bidi w:val="0"/>
        <w:spacing w:lineRule="auto" w:line="314" w:before="0" w:after="12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3" w:name="TOC"/>
      <w:bookmarkStart w:id="24" w:name="_5bf3ed9c_897f_48f2_b896_00d374c23bbf"/>
      <w:bookmarkEnd w:id="23"/>
      <w:bookmarkEnd w:id="24"/>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INDEX</w:t>
      </w:r>
    </w:p>
    <w:tbl>
      <w:tblPr>
        <w:tblW w:w="10205" w:type="dxa"/>
        <w:jc w:val="left"/>
        <w:tblInd w:w="0" w:type="dxa"/>
        <w:tblLayout w:type="fixed"/>
        <w:tblCellMar>
          <w:top w:w="0" w:type="dxa"/>
          <w:left w:w="0" w:type="dxa"/>
          <w:bottom w:w="0" w:type="dxa"/>
          <w:right w:w="0" w:type="dxa"/>
        </w:tblCellMar>
      </w:tblPr>
      <w:tblGrid>
        <w:gridCol w:w="9143"/>
        <w:gridCol w:w="326"/>
        <w:gridCol w:w="736"/>
      </w:tblGrid>
      <w:tr>
        <w:trPr/>
        <w:tc>
          <w:tcPr>
            <w:tcW w:w="914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br/>
              <w:t>Number</w:t>
            </w:r>
          </w:p>
        </w:tc>
      </w:tr>
      <w:tr>
        <w:trPr/>
        <w:tc>
          <w:tcPr>
            <w:tcW w:w="9143" w:type="dxa"/>
            <w:tcBorders/>
            <w:vAlign w:val="center"/>
          </w:tcPr>
          <w:p>
            <w:pPr>
              <w:pStyle w:val="TableContents"/>
              <w:bidi w:val="0"/>
              <w:spacing w:lineRule="auto" w:line="285" w:before="0" w:after="0"/>
              <w:ind w:left="0" w:right="0" w:hanging="0"/>
              <w:jc w:val="left"/>
              <w:rPr/>
            </w:pPr>
            <w:hyperlink w:anchor="PARTIFINANCIALINFORMATION_430767">
              <w:r>
                <w:rPr>
                  <w:rStyle w:val="InternetLink"/>
                  <w:rFonts w:ascii="Times New Roman;Times;serif" w:hAnsi="Times New Roman;Times;serif"/>
                  <w:b/>
                  <w:i w:val="false"/>
                  <w:caps w:val="false"/>
                  <w:smallCaps w:val="false"/>
                  <w:sz w:val="20"/>
                </w:rPr>
                <w:t>Part I. FINANCIAL INFORMATION</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43" w:type="dxa"/>
            <w:tcBorders/>
            <w:vAlign w:val="center"/>
          </w:tcPr>
          <w:p>
            <w:pPr>
              <w:pStyle w:val="TableContents"/>
              <w:pBdr/>
              <w:bidi w:val="0"/>
              <w:spacing w:lineRule="auto" w:line="285" w:before="0" w:after="0"/>
              <w:ind w:left="0" w:right="0" w:hanging="0"/>
              <w:jc w:val="left"/>
              <w:rPr/>
            </w:pPr>
            <w:hyperlink w:anchor="ITEM1FINANCIALSTATEMENTS_376548">
              <w:r>
                <w:rPr>
                  <w:rStyle w:val="InternetLink"/>
                  <w:rFonts w:ascii="Times New Roman;Times;serif" w:hAnsi="Times New Roman;Times;serif"/>
                  <w:b w:val="false"/>
                  <w:i w:val="false"/>
                  <w:caps w:val="false"/>
                  <w:smallCaps w:val="false"/>
                  <w:sz w:val="20"/>
                </w:rPr>
                <w:t xml:space="preserve">Item 1. Financial Statements </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43" w:type="dxa"/>
            <w:tcBorders/>
            <w:vAlign w:val="center"/>
          </w:tcPr>
          <w:p>
            <w:pPr>
              <w:pStyle w:val="TableContents"/>
              <w:bidi w:val="0"/>
              <w:spacing w:lineRule="auto" w:line="285" w:before="0" w:after="0"/>
              <w:ind w:left="0" w:right="0" w:hanging="0"/>
              <w:jc w:val="left"/>
              <w:rPr/>
            </w:pPr>
            <w:hyperlink w:anchor="BALANCESHEETS_107274">
              <w:r>
                <w:rPr>
                  <w:rStyle w:val="InternetLink"/>
                  <w:rFonts w:ascii="Times New Roman;Times;serif" w:hAnsi="Times New Roman;Times;serif"/>
                  <w:b w:val="false"/>
                  <w:i w:val="false"/>
                  <w:caps w:val="false"/>
                  <w:smallCaps w:val="false"/>
                  <w:sz w:val="20"/>
                </w:rPr>
                <w:t>Condensed Consolidated Balance Sheets at September 30, 2025 and December 31, 2024 (unaudited)</w:t>
              </w:r>
            </w:hyperlink>
            <w:r>
              <w:rPr>
                <w:rFonts w:ascii="Times New Roman;Times;serif" w:hAnsi="Times New Roman;Times;serif"/>
                <w:sz w:val="20"/>
              </w:rPr>
              <w:t xml:space="preserve"> </w:t>
            </w:r>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143" w:type="dxa"/>
            <w:tcBorders/>
            <w:vAlign w:val="center"/>
          </w:tcPr>
          <w:p>
            <w:pPr>
              <w:pStyle w:val="TableContents"/>
              <w:bidi w:val="0"/>
              <w:spacing w:lineRule="auto" w:line="285" w:before="0" w:after="0"/>
              <w:ind w:left="0" w:right="0" w:hanging="0"/>
              <w:jc w:val="left"/>
              <w:rPr/>
            </w:pPr>
            <w:hyperlink w:anchor="COMPREHENSIVELOSS_871319">
              <w:r>
                <w:rPr>
                  <w:rStyle w:val="InternetLink"/>
                  <w:rFonts w:ascii="Times New Roman;Times;serif" w:hAnsi="Times New Roman;Times;serif"/>
                  <w:b w:val="false"/>
                  <w:i w:val="false"/>
                  <w:caps w:val="false"/>
                  <w:smallCaps w:val="false"/>
                  <w:sz w:val="20"/>
                </w:rPr>
                <w:t>Condensed Consolidated Statements of Operations and Comprehensive Loss for the Three and Nine Months Ended September 30, 2025</w:t>
              </w:r>
            </w:hyperlink>
            <w:hyperlink w:anchor="COMPREHENSIVELOSS_871319">
              <w:r>
                <w:rPr>
                  <w:rStyle w:val="InternetLink"/>
                  <w:rFonts w:ascii="Times New Roman;Times;serif" w:hAnsi="Times New Roman;Times;serif"/>
                  <w:caps w:val="false"/>
                  <w:smallCaps w:val="false"/>
                  <w:sz w:val="20"/>
                </w:rPr>
                <w:t> </w:t>
              </w:r>
            </w:hyperlink>
            <w:hyperlink w:anchor="COMPREHENSIVELOSS_871319">
              <w:r>
                <w:rPr>
                  <w:rStyle w:val="InternetLink"/>
                  <w:rFonts w:ascii="Times New Roman;Times;serif" w:hAnsi="Times New Roman;Times;serif"/>
                  <w:b w:val="false"/>
                  <w:i w:val="false"/>
                  <w:caps w:val="false"/>
                  <w:smallCaps w:val="false"/>
                  <w:sz w:val="20"/>
                </w:rPr>
                <w:t>and 2024 (unaudited)</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143" w:type="dxa"/>
            <w:tcBorders/>
            <w:vAlign w:val="center"/>
          </w:tcPr>
          <w:p>
            <w:pPr>
              <w:pStyle w:val="TableContents"/>
              <w:bidi w:val="0"/>
              <w:spacing w:lineRule="auto" w:line="285" w:before="0" w:after="0"/>
              <w:ind w:left="0" w:right="0" w:hanging="0"/>
              <w:jc w:val="left"/>
              <w:rPr/>
            </w:pPr>
            <w:hyperlink w:anchor="CASHFLOWS_208457">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 (unaudited)</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143" w:type="dxa"/>
            <w:tcBorders/>
            <w:vAlign w:val="center"/>
          </w:tcPr>
          <w:p>
            <w:pPr>
              <w:pStyle w:val="TableContents"/>
              <w:bidi w:val="0"/>
              <w:spacing w:lineRule="auto" w:line="285" w:before="0" w:after="0"/>
              <w:ind w:left="0" w:right="0" w:hanging="0"/>
              <w:jc w:val="left"/>
              <w:rPr/>
            </w:pPr>
            <w:hyperlink w:anchor="STOCKHOLDERSEQUITY_926433">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September 30, 2025 and 2024 (unaudited)</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143" w:type="dxa"/>
            <w:tcBorders/>
            <w:vAlign w:val="center"/>
          </w:tcPr>
          <w:p>
            <w:pPr>
              <w:pStyle w:val="TableContents"/>
              <w:bidi w:val="0"/>
              <w:spacing w:lineRule="auto" w:line="285"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143" w:type="dxa"/>
            <w:tcBorders/>
            <w:vAlign w:val="center"/>
          </w:tcPr>
          <w:p>
            <w:pPr>
              <w:pStyle w:val="TableContents"/>
              <w:pBdr/>
              <w:bidi w:val="0"/>
              <w:spacing w:lineRule="auto" w:line="285" w:before="0" w:after="0"/>
              <w:ind w:left="0" w:right="0" w:hanging="0"/>
              <w:jc w:val="left"/>
              <w:rPr/>
            </w:pPr>
            <w:hyperlink w:anchor="ITEM2MANAGEMENTSDISCUSSIONANDANALYSIS_23">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9143" w:type="dxa"/>
            <w:tcBorders/>
            <w:vAlign w:val="center"/>
          </w:tcPr>
          <w:p>
            <w:pPr>
              <w:pStyle w:val="TableContents"/>
              <w:pBdr/>
              <w:bidi w:val="0"/>
              <w:spacing w:lineRule="auto" w:line="285" w:before="0" w:after="0"/>
              <w:ind w:left="0" w:right="0" w:hanging="0"/>
              <w:jc w:val="left"/>
              <w:rPr/>
            </w:pPr>
            <w:hyperlink w:anchor="ITEM3QUANTITATIVEANDQUALITATIVE_777615">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43" w:type="dxa"/>
            <w:tcBorders/>
            <w:vAlign w:val="center"/>
          </w:tcPr>
          <w:p>
            <w:pPr>
              <w:pStyle w:val="TableContents"/>
              <w:pBdr/>
              <w:bidi w:val="0"/>
              <w:spacing w:lineRule="auto" w:line="285" w:before="0" w:after="0"/>
              <w:ind w:left="0" w:right="0" w:hanging="0"/>
              <w:jc w:val="left"/>
              <w:rPr/>
            </w:pPr>
            <w:hyperlink w:anchor="ITEM4CONTROLSANDPROCEDURES_180441">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143" w:type="dxa"/>
            <w:tcBorders/>
            <w:vAlign w:val="center"/>
          </w:tcPr>
          <w:p>
            <w:pPr>
              <w:pStyle w:val="TableContents"/>
              <w:bidi w:val="0"/>
              <w:spacing w:lineRule="auto" w:line="285" w:before="0" w:after="0"/>
              <w:ind w:left="0" w:right="0" w:hanging="0"/>
              <w:jc w:val="left"/>
              <w:rPr/>
            </w:pPr>
            <w:hyperlink w:anchor="PARTIIOTHERINFORMATION_378548">
              <w:r>
                <w:rPr>
                  <w:rStyle w:val="InternetLink"/>
                  <w:rFonts w:ascii="Times New Roman;Times;serif" w:hAnsi="Times New Roman;Times;serif"/>
                  <w:b/>
                  <w:i w:val="false"/>
                  <w:caps w:val="false"/>
                  <w:smallCaps w:val="false"/>
                  <w:sz w:val="20"/>
                </w:rPr>
                <w:t>Part II. OTHER INFORMATION</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43" w:type="dxa"/>
            <w:tcBorders/>
            <w:vAlign w:val="center"/>
          </w:tcPr>
          <w:p>
            <w:pPr>
              <w:pStyle w:val="TableContents"/>
              <w:pBdr/>
              <w:bidi w:val="0"/>
              <w:spacing w:lineRule="auto" w:line="285" w:before="0" w:after="0"/>
              <w:ind w:left="0" w:right="0" w:hanging="0"/>
              <w:jc w:val="left"/>
              <w:rPr/>
            </w:pPr>
            <w:hyperlink w:anchor="ITEM1LEGALPROCEEDINGS_315864">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43" w:type="dxa"/>
            <w:tcBorders/>
            <w:vAlign w:val="center"/>
          </w:tcPr>
          <w:p>
            <w:pPr>
              <w:pStyle w:val="TableContents"/>
              <w:pBdr/>
              <w:bidi w:val="0"/>
              <w:spacing w:lineRule="auto" w:line="285" w:before="0" w:after="0"/>
              <w:ind w:left="0" w:right="0" w:hanging="0"/>
              <w:jc w:val="left"/>
              <w:rPr/>
            </w:pPr>
            <w:hyperlink w:anchor="ITEM1ARISKFACTORS_294464">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43" w:type="dxa"/>
            <w:tcBorders/>
            <w:vAlign w:val="center"/>
          </w:tcPr>
          <w:p>
            <w:pPr>
              <w:pStyle w:val="TableContents"/>
              <w:pBdr/>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43" w:type="dxa"/>
            <w:tcBorders/>
            <w:vAlign w:val="center"/>
          </w:tcPr>
          <w:p>
            <w:pPr>
              <w:pStyle w:val="TableContents"/>
              <w:pBdr/>
              <w:bidi w:val="0"/>
              <w:spacing w:lineRule="auto" w:line="285"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 xml:space="preserve">Item 3. Defaults Upon Senior Securities </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43" w:type="dxa"/>
            <w:tcBorders/>
            <w:vAlign w:val="center"/>
          </w:tcPr>
          <w:p>
            <w:pPr>
              <w:pStyle w:val="TableContents"/>
              <w:pBdr/>
              <w:bidi w:val="0"/>
              <w:spacing w:lineRule="auto" w:line="285"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43" w:type="dxa"/>
            <w:tcBorders/>
            <w:vAlign w:val="center"/>
          </w:tcPr>
          <w:p>
            <w:pPr>
              <w:pStyle w:val="TableContents"/>
              <w:pBdr/>
              <w:bidi w:val="0"/>
              <w:spacing w:lineRule="auto" w:line="285"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143" w:type="dxa"/>
            <w:tcBorders/>
            <w:vAlign w:val="center"/>
          </w:tcPr>
          <w:p>
            <w:pPr>
              <w:pStyle w:val="TableContents"/>
              <w:pBdr/>
              <w:bidi w:val="0"/>
              <w:spacing w:lineRule="auto" w:line="285"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143" w:type="dxa"/>
            <w:tcBorders/>
            <w:vAlign w:val="center"/>
          </w:tcPr>
          <w:p>
            <w:pPr>
              <w:pStyle w:val="TableContents"/>
              <w:pBdr/>
              <w:bidi w:val="0"/>
              <w:spacing w:lineRule="auto" w:line="285" w:before="0" w:after="0"/>
              <w:ind w:left="0" w:right="0" w:hanging="0"/>
              <w:jc w:val="left"/>
              <w:rPr/>
            </w:pPr>
            <w:hyperlink w:anchor="SIGNATURES_258787">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Times New Roman;Times;serif" w:hAnsi="Times New Roman;Times;serif"/>
          <w:b/>
          <w:sz w:val="18"/>
        </w:rPr>
      </w:pPr>
      <w:bookmarkStart w:id="25" w:name="PARTIFINANCIALINFORMATION_430767"/>
      <w:bookmarkStart w:id="26" w:name="_84284bb2_04c1_4acd_974b_22116313faaa"/>
      <w:bookmarkEnd w:id="25"/>
      <w:bookmarkEnd w:id="26"/>
      <w:r>
        <w:rPr>
          <w:rFonts w:ascii="Times New Roman;Times;serif" w:hAnsi="Times New Roman;Times;serif"/>
          <w:b/>
          <w:sz w:val="18"/>
        </w:rPr>
        <w:t>PART I. FINANCIAL INFORMATION</w:t>
      </w:r>
    </w:p>
    <w:p>
      <w:pPr>
        <w:pStyle w:val="TextBody"/>
        <w:bidi w:val="0"/>
        <w:spacing w:lineRule="auto" w:line="285" w:before="0" w:after="120"/>
        <w:ind w:left="0" w:right="0" w:hanging="0"/>
        <w:jc w:val="left"/>
        <w:rPr>
          <w:rFonts w:ascii="Times New Roman;Times;serif" w:hAnsi="Times New Roman;Times;serif"/>
          <w:b/>
          <w:sz w:val="18"/>
        </w:rPr>
      </w:pPr>
      <w:bookmarkStart w:id="27" w:name="ITEM1FINANCIALSTATEMENTS_376548"/>
      <w:bookmarkEnd w:id="27"/>
      <w:r>
        <w:rPr>
          <w:rFonts w:ascii="Times New Roman;Times;serif" w:hAnsi="Times New Roman;Times;serif"/>
          <w:b/>
          <w:sz w:val="18"/>
        </w:rPr>
        <w:t>ITEM 1. FINANCIAL STATEMENTS (UNAUDITED)</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28" w:name="BALANCESHEETS_107274"/>
      <w:bookmarkEnd w:id="28"/>
      <w:r>
        <w:rPr>
          <w:rFonts w:ascii="Times New Roman;Times;serif" w:hAnsi="Times New Roman;Times;serif"/>
          <w:b/>
          <w:sz w:val="18"/>
        </w:rPr>
        <w:t>CONDENSED CONSOLIDATED BALANCE SHEETS</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data)</w:t>
      </w:r>
    </w:p>
    <w:p>
      <w:pPr>
        <w:pStyle w:val="Normal"/>
        <w:bidi w:val="0"/>
        <w:spacing w:before="0" w:after="0"/>
        <w:jc w:val="left"/>
        <w:rPr>
          <w:sz w:val="4"/>
          <w:szCs w:val="4"/>
        </w:rPr>
      </w:pPr>
      <w:r>
        <w:rPr>
          <w:sz w:val="4"/>
          <w:szCs w:val="4"/>
        </w:rPr>
      </w:r>
      <w:bookmarkStart w:id="29" w:name="Tc_sFpUW9qypk6um4JR5sG9TQ_49_5"/>
      <w:bookmarkStart w:id="30" w:name="Tc_0n2FsKfEAUGJ2RBflxWHcA_49_2"/>
      <w:bookmarkStart w:id="31" w:name="Tc_XJmYwUkZsUuu_dtZk-dKHg_49_0"/>
      <w:bookmarkStart w:id="32" w:name="Tc_q3aOLE1qC0GQJzKubyE6jA_47_0"/>
      <w:bookmarkStart w:id="33" w:name="Tc_V4b_syTzF0-czjLbyxOxrw_46_0"/>
      <w:bookmarkStart w:id="34" w:name="Tc_9sYnKnJERUaDYigjSS3xwA_45_0"/>
      <w:bookmarkStart w:id="35" w:name="Tc_ePwZxB8qAk6RPYfhBugunw_44_0"/>
      <w:bookmarkStart w:id="36" w:name="Tc_pF9KQ9f0HkC7ujpTTYc0Jg_43_0"/>
      <w:bookmarkStart w:id="37" w:name="Tc_SODvMIcQUk2M6hT-FeP36g_42_0"/>
      <w:bookmarkStart w:id="38" w:name="Tc_10fC5TajO0SNYGAADwA-Vw_41_0"/>
      <w:bookmarkStart w:id="39" w:name="Tc_SXCYAOcUTUKG1gdHg2Tqkg_40_0"/>
      <w:bookmarkStart w:id="40" w:name="Tc_4FGVgBPTOE2oYi543sFKIA_39_0"/>
      <w:bookmarkStart w:id="41" w:name="Tc_VVOtshRn6km5S6TOSkwHfw_37_0"/>
      <w:bookmarkStart w:id="42" w:name="Tc_Y4jaaJ4sVUax50qoMGpluQ_35_0"/>
      <w:bookmarkStart w:id="43" w:name="Tc_rATq1ZRJZ0CLxO-lrx7Y0A_34_0"/>
      <w:bookmarkStart w:id="44" w:name="Tc_dlNH7ANxX0a7AV9YSsnuiQ_33_0"/>
      <w:bookmarkStart w:id="45" w:name="Tc_dvQwDMTljku4Y_dlrc-w0g_32_0"/>
      <w:bookmarkStart w:id="46" w:name="Tc_zyczIfXo2UeT-QjDIragzA_31_0"/>
      <w:bookmarkStart w:id="47" w:name="Tc_QsCIoVwh1EONl04DVERw7g_29_0"/>
      <w:bookmarkStart w:id="48" w:name="Tc_Ntdzda3QSUC4sczgJyrR2Q_28_0"/>
      <w:bookmarkStart w:id="49" w:name="Tc_orwBvLQ0EUOoXTJML84UpQ_27_0"/>
      <w:bookmarkStart w:id="50" w:name="Tc_zBFWN6J7Z0uv3wSYTtpy3A_26_0"/>
      <w:bookmarkStart w:id="51" w:name="Tc_85YqtoFMdkCLkqJW3nLg2Q_25_0"/>
      <w:bookmarkStart w:id="52" w:name="Tc_SAIQ7AV5WkaKl1yLXlm6qg_24_0"/>
      <w:bookmarkStart w:id="53" w:name="Tc_tiTLifKoZEWleSTYRF_5hA_23_0"/>
      <w:bookmarkStart w:id="54" w:name="Tc_s26sM9FUlEWOCj3aOyKZiQ_22_5"/>
      <w:bookmarkStart w:id="55" w:name="Tc_GcM3u_2AK02F8iBatNOhYw_22_2"/>
      <w:bookmarkStart w:id="56" w:name="Tc_8hUxoFc5LUC6JG-FL61ZeQ_22_0"/>
      <w:bookmarkStart w:id="57" w:name="Tc_W5ELxHbb5U-hnH_O3ACLiw_21_0"/>
      <w:bookmarkStart w:id="58" w:name="Tc_f4QoRAWZC0CZVTv34vs9-w_20_0"/>
      <w:bookmarkStart w:id="59" w:name="Tc_5VQJHrcZkEme6xe6XDoArw_18_5"/>
      <w:bookmarkStart w:id="60" w:name="Tc_kpDYkeKNIk6gElzdsXIAuA_18_2"/>
      <w:bookmarkStart w:id="61" w:name="Tc_Y_cRRC3WGEOvQgzxZr2rIA_18_0"/>
      <w:bookmarkStart w:id="62" w:name="Tc_CcU4-EF3t0WlNkPO5RiP1A_16_0"/>
      <w:bookmarkStart w:id="63" w:name="Tc_s2wsuFouOEKvr3enLAE_ug_14_0"/>
      <w:bookmarkStart w:id="64" w:name="Tc_CCnwEi8yB0SDrBsDC3GQ2Q_12_0"/>
      <w:bookmarkStart w:id="65" w:name="Tc_DL11X3hn9EaijwP_mPptxQ_11_0"/>
      <w:bookmarkStart w:id="66" w:name="Tc_LEG_tAHqkkWX2fk0-5LVDA_10_0"/>
      <w:bookmarkStart w:id="67" w:name="Tc_c4iw4usinEWMZEXa3hQLig_8_0"/>
      <w:bookmarkStart w:id="68" w:name="Tc_ESgyzBMrMUauCVPgPwEYJA_7_0"/>
      <w:bookmarkStart w:id="69" w:name="Tc_f6Jh1dcG90e80NG3Q-uFfA_6_0"/>
      <w:bookmarkStart w:id="70" w:name="Tc_Iho3hr3mVEOSdkhE18z82Q_5_5"/>
      <w:bookmarkStart w:id="71" w:name="Tc_MN12teiBpEWOzLnyHpRtaQ_5_2"/>
      <w:bookmarkStart w:id="72" w:name="Tc_426xVfBmU06MnjylLY0LWQ_5_0"/>
      <w:bookmarkStart w:id="73" w:name="Tc_gn5GxZGx20aEkXoO_jl2Mg_4_0"/>
      <w:bookmarkStart w:id="74" w:name="Tc_qIZzyDWRMk2gkW3ycIIMFw_3_0"/>
      <w:bookmarkStart w:id="75" w:name="Tc_U1s1PZRjL0ejuVSLwWqKcA_2_5"/>
      <w:bookmarkStart w:id="76" w:name="Tc_lwlb20s4ZkSu4efrRWKbtw_2_2"/>
      <w:bookmarkStart w:id="77" w:name="Tc_tNuUl182XU-jMSzYLjmGXA_1_5"/>
      <w:bookmarkStart w:id="78" w:name="Tc_Gw5I3G1pKkSQTJndnSNjJw_1_2"/>
      <w:bookmarkStart w:id="79" w:name="_562525e8_1c2e_4c88_924a_e8474009e1a0"/>
      <w:bookmarkStart w:id="80" w:name="Tc_sFpUW9qypk6um4JR5sG9TQ_49_5"/>
      <w:bookmarkStart w:id="81" w:name="Tc_0n2FsKfEAUGJ2RBflxWHcA_49_2"/>
      <w:bookmarkStart w:id="82" w:name="Tc_XJmYwUkZsUuu_dtZk-dKHg_49_0"/>
      <w:bookmarkStart w:id="83" w:name="Tc_q3aOLE1qC0GQJzKubyE6jA_47_0"/>
      <w:bookmarkStart w:id="84" w:name="Tc_V4b_syTzF0-czjLbyxOxrw_46_0"/>
      <w:bookmarkStart w:id="85" w:name="Tc_9sYnKnJERUaDYigjSS3xwA_45_0"/>
      <w:bookmarkStart w:id="86" w:name="Tc_ePwZxB8qAk6RPYfhBugunw_44_0"/>
      <w:bookmarkStart w:id="87" w:name="Tc_pF9KQ9f0HkC7ujpTTYc0Jg_43_0"/>
      <w:bookmarkStart w:id="88" w:name="Tc_SODvMIcQUk2M6hT-FeP36g_42_0"/>
      <w:bookmarkStart w:id="89" w:name="Tc_10fC5TajO0SNYGAADwA-Vw_41_0"/>
      <w:bookmarkStart w:id="90" w:name="Tc_SXCYAOcUTUKG1gdHg2Tqkg_40_0"/>
      <w:bookmarkStart w:id="91" w:name="Tc_4FGVgBPTOE2oYi543sFKIA_39_0"/>
      <w:bookmarkStart w:id="92" w:name="Tc_VVOtshRn6km5S6TOSkwHfw_37_0"/>
      <w:bookmarkStart w:id="93" w:name="Tc_Y4jaaJ4sVUax50qoMGpluQ_35_0"/>
      <w:bookmarkStart w:id="94" w:name="Tc_rATq1ZRJZ0CLxO-lrx7Y0A_34_0"/>
      <w:bookmarkStart w:id="95" w:name="Tc_dlNH7ANxX0a7AV9YSsnuiQ_33_0"/>
      <w:bookmarkStart w:id="96" w:name="Tc_dvQwDMTljku4Y_dlrc-w0g_32_0"/>
      <w:bookmarkStart w:id="97" w:name="Tc_zyczIfXo2UeT-QjDIragzA_31_0"/>
      <w:bookmarkStart w:id="98" w:name="Tc_QsCIoVwh1EONl04DVERw7g_29_0"/>
      <w:bookmarkStart w:id="99" w:name="Tc_Ntdzda3QSUC4sczgJyrR2Q_28_0"/>
      <w:bookmarkStart w:id="100" w:name="Tc_orwBvLQ0EUOoXTJML84UpQ_27_0"/>
      <w:bookmarkStart w:id="101" w:name="Tc_zBFWN6J7Z0uv3wSYTtpy3A_26_0"/>
      <w:bookmarkStart w:id="102" w:name="Tc_85YqtoFMdkCLkqJW3nLg2Q_25_0"/>
      <w:bookmarkStart w:id="103" w:name="Tc_SAIQ7AV5WkaKl1yLXlm6qg_24_0"/>
      <w:bookmarkStart w:id="104" w:name="Tc_tiTLifKoZEWleSTYRF_5hA_23_0"/>
      <w:bookmarkStart w:id="105" w:name="Tc_s26sM9FUlEWOCj3aOyKZiQ_22_5"/>
      <w:bookmarkStart w:id="106" w:name="Tc_GcM3u_2AK02F8iBatNOhYw_22_2"/>
      <w:bookmarkStart w:id="107" w:name="Tc_8hUxoFc5LUC6JG-FL61ZeQ_22_0"/>
      <w:bookmarkStart w:id="108" w:name="Tc_W5ELxHbb5U-hnH_O3ACLiw_21_0"/>
      <w:bookmarkStart w:id="109" w:name="Tc_f4QoRAWZC0CZVTv34vs9-w_20_0"/>
      <w:bookmarkStart w:id="110" w:name="Tc_5VQJHrcZkEme6xe6XDoArw_18_5"/>
      <w:bookmarkStart w:id="111" w:name="Tc_kpDYkeKNIk6gElzdsXIAuA_18_2"/>
      <w:bookmarkStart w:id="112" w:name="Tc_Y_cRRC3WGEOvQgzxZr2rIA_18_0"/>
      <w:bookmarkStart w:id="113" w:name="Tc_CcU4-EF3t0WlNkPO5RiP1A_16_0"/>
      <w:bookmarkStart w:id="114" w:name="Tc_s2wsuFouOEKvr3enLAE_ug_14_0"/>
      <w:bookmarkStart w:id="115" w:name="Tc_CCnwEi8yB0SDrBsDC3GQ2Q_12_0"/>
      <w:bookmarkStart w:id="116" w:name="Tc_DL11X3hn9EaijwP_mPptxQ_11_0"/>
      <w:bookmarkStart w:id="117" w:name="Tc_LEG_tAHqkkWX2fk0-5LVDA_10_0"/>
      <w:bookmarkStart w:id="118" w:name="Tc_c4iw4usinEWMZEXa3hQLig_8_0"/>
      <w:bookmarkStart w:id="119" w:name="Tc_ESgyzBMrMUauCVPgPwEYJA_7_0"/>
      <w:bookmarkStart w:id="120" w:name="Tc_f6Jh1dcG90e80NG3Q-uFfA_6_0"/>
      <w:bookmarkStart w:id="121" w:name="Tc_Iho3hr3mVEOSdkhE18z82Q_5_5"/>
      <w:bookmarkStart w:id="122" w:name="Tc_MN12teiBpEWOzLnyHpRtaQ_5_2"/>
      <w:bookmarkStart w:id="123" w:name="Tc_426xVfBmU06MnjylLY0LWQ_5_0"/>
      <w:bookmarkStart w:id="124" w:name="Tc_gn5GxZGx20aEkXoO_jl2Mg_4_0"/>
      <w:bookmarkStart w:id="125" w:name="Tc_qIZzyDWRMk2gkW3ycIIMFw_3_0"/>
      <w:bookmarkStart w:id="126" w:name="Tc_U1s1PZRjL0ejuVSLwWqKcA_2_5"/>
      <w:bookmarkStart w:id="127" w:name="Tc_lwlb20s4ZkSu4efrRWKbtw_2_2"/>
      <w:bookmarkStart w:id="128" w:name="Tc_tNuUl182XU-jMSzYLjmGXA_1_5"/>
      <w:bookmarkStart w:id="129" w:name="Tc_Gw5I3G1pKkSQTJndnSNjJw_1_2"/>
      <w:bookmarkStart w:id="130" w:name="_562525e8_1c2e_4c88_924a_e8474009e1a0"/>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9447" w:type="dxa"/>
        <w:jc w:val="left"/>
        <w:tblInd w:w="0" w:type="dxa"/>
        <w:tblLayout w:type="fixed"/>
        <w:tblCellMar>
          <w:top w:w="0" w:type="dxa"/>
          <w:left w:w="0" w:type="dxa"/>
          <w:bottom w:w="0" w:type="dxa"/>
          <w:right w:w="0" w:type="dxa"/>
        </w:tblCellMar>
      </w:tblPr>
      <w:tblGrid>
        <w:gridCol w:w="6436"/>
        <w:gridCol w:w="326"/>
        <w:gridCol w:w="257"/>
        <w:gridCol w:w="988"/>
        <w:gridCol w:w="109"/>
        <w:gridCol w:w="222"/>
        <w:gridCol w:w="918"/>
        <w:gridCol w:w="19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086860" cy="175260"/>
                      <wp:effectExtent l="0" t="0" r="0" b="0"/>
                      <wp:wrapNone/>
                      <wp:docPr id="3" name="Frame3"/>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3195" cy="175260"/>
                      <wp:effectExtent l="0" t="0" r="0" b="0"/>
                      <wp:wrapNone/>
                      <wp:docPr id="5" name="Frame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27380" cy="175260"/>
                      <wp:effectExtent l="0" t="0" r="0" b="0"/>
                      <wp:wrapNone/>
                      <wp:docPr id="6" name="Frame6"/>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0970" cy="175260"/>
                      <wp:effectExtent l="0" t="0" r="0" b="0"/>
                      <wp:wrapNone/>
                      <wp:docPr id="8" name="Frame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82930" cy="175260"/>
                      <wp:effectExtent l="0" t="0" r="0" b="0"/>
                      <wp:wrapNone/>
                      <wp:docPr id="9" name="Frame9"/>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1285" cy="175260"/>
                      <wp:effectExtent l="0" t="0" r="0" b="0"/>
                      <wp:wrapNone/>
                      <wp:docPr id="10" name="Frame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2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receivable, net </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2,171</w:t>
            </w:r>
          </w:p>
        </w:tc>
        <w:tc>
          <w:tcPr>
            <w:tcW w:w="109" w:type="dxa"/>
            <w:tcBorders/>
            <w:vAlign w:val="center"/>
          </w:tcPr>
          <w:p>
            <w:pPr>
              <w:pStyle w:val="TableContents"/>
              <w:bidi w:val="0"/>
              <w:spacing w:lineRule="auto" w:line="285" w:before="0" w:after="0"/>
              <w:ind w:left="0" w:right="0" w:hanging="0"/>
              <w:jc w:val="right"/>
              <w:rPr/>
            </w:pPr>
            <w:r>
              <w:rPr/>
              <w:t>​</w:t>
            </w:r>
          </w:p>
        </w:tc>
        <w:tc>
          <w:tcPr>
            <w:tcW w:w="222" w:type="dxa"/>
            <w:tcBorders/>
            <w:vAlign w:val="center"/>
          </w:tcPr>
          <w:p>
            <w:pPr>
              <w:pStyle w:val="TableContents"/>
              <w:bidi w:val="0"/>
              <w:spacing w:lineRule="auto" w:line="285" w:before="0" w:after="0"/>
              <w:ind w:left="0" w:right="0" w:hanging="0"/>
              <w:jc w:val="right"/>
              <w:rPr/>
            </w:pPr>
            <w:r>
              <w:rPr/>
              <w:t> </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3,186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13,186</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14,541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250,374</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238,064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(226,553)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(225,085)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23,821</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12,979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lease right-of-use assets</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3,209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3,002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Intangibles, net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40,575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5,698</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3,381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Payroll costs and other taxes</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1,403</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2,014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notes payable and finance leases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16,535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9,930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Long-term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Notes payable and finance leases, net of current maturities</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6,545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1,512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maturities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2,290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2,131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long-term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8,851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3,659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stock-par value $1.00 per share; 4,000,000 shares authorized, none outstanding</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stock-par value $0.01 per share; 35,000,000 shares authorized,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31,047,801 and 30,983,437 shares issued and outstanding at September 30, 2025 </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and December 31, 2024, respectively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157,115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157,073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(140,129)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(137,619)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(2,107)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15,189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17,281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40,575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30,870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4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0"/>
        <w:ind w:left="0" w:right="0" w:hanging="0"/>
        <w:jc w:val="center"/>
        <w:rPr>
          <w:rFonts w:ascii="Times New Roman;Times;serif" w:hAnsi="Times New Roman;Times;serif"/>
          <w:b/>
          <w:sz w:val="18"/>
        </w:rPr>
      </w:pPr>
      <w:bookmarkStart w:id="131" w:name="_ade74b4a_877a_4f00_9019_5a554e5d6e22"/>
      <w:bookmarkEnd w:id="131"/>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132" w:name="COMPREHENSIVELOSS_871319"/>
      <w:bookmarkEnd w:id="132"/>
      <w:r>
        <w:rPr>
          <w:rFonts w:ascii="Times New Roman;Times;serif" w:hAnsi="Times New Roman;Times;serif"/>
          <w:b/>
          <w:sz w:val="18"/>
        </w:rPr>
        <w:t>CONDENSED CONSOLIDATED STATEMENTS OF OPERATIONS AND COMPREHENSIVE LOSS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and per share data)</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3" w:name="Tc_XPh2_dTFLESiKkuqqlqpmA_40_0"/>
      <w:bookmarkStart w:id="134" w:name="Tc_-LEGBVT-BkqIGpWmTSiBOg_38_0"/>
      <w:bookmarkStart w:id="135" w:name="Tc_43XYYba2bESJjQOq_BmlzA_36_10"/>
      <w:bookmarkStart w:id="136" w:name="Tc_H0MEbqDUGUSY72Qr556f8w_36_7"/>
      <w:bookmarkStart w:id="137" w:name="Tc_rxHrvpKvZU6pZTAoVqxb2g_36_4"/>
      <w:bookmarkStart w:id="138" w:name="Tc_lGE5N-JSREersjHNB2Qntg_36_1"/>
      <w:bookmarkStart w:id="139" w:name="Tc_vk3BKWfGKE27p34eIwJKaw_36_0"/>
      <w:bookmarkStart w:id="140" w:name="Tc_VAsnk9AY60qUQPQUCWpmMQ_34_10"/>
      <w:bookmarkStart w:id="141" w:name="Tc_Vi_mnKf-D0eeAIGtdmAWUQ_34_7"/>
      <w:bookmarkStart w:id="142" w:name="Tc_VLxNbjIBDUmKCHUDI0D4Qg_34_4"/>
      <w:bookmarkStart w:id="143" w:name="Tc_H5w0U-NR4E6bWNPwPJS9LA_34_1"/>
      <w:bookmarkStart w:id="144" w:name="Tc_iwAMF9iKQEmnCrztHW6NNg_34_0"/>
      <w:bookmarkStart w:id="145" w:name="Tc_yHWD98fK5Uq4pii9NQz-Zg_32_10"/>
      <w:bookmarkStart w:id="146" w:name="Tc_0ckhn-_kF0CpG63IpY70IQ_32_7"/>
      <w:bookmarkStart w:id="147" w:name="Tc_I9HdtKbfJ0OX1qcZvGBwCQ_32_4"/>
      <w:bookmarkStart w:id="148" w:name="Tc_aQJgB9ERF0OSzvSmmB2gLQ_32_1"/>
      <w:bookmarkStart w:id="149" w:name="Tc_P6ZExS0T3EusZrbNv5S8gw_32_0"/>
      <w:bookmarkStart w:id="150" w:name="Tc_pKU6UlpYuU2Wf42S6Ozzqg_30_0"/>
      <w:bookmarkStart w:id="151" w:name="Tc_aJSdb6fh40a830PXnmjrZA_29_0"/>
      <w:bookmarkStart w:id="152" w:name="Tc_tl_cxWgIyUSHA3p7LuG43g_27_0"/>
      <w:bookmarkStart w:id="153" w:name="Tc_TDL12zla1U6kBcmsu31sQQ_25_0"/>
      <w:bookmarkStart w:id="154" w:name="Tc_lQcYivTYFkia88RvV5vWaw_23_0"/>
      <w:bookmarkStart w:id="155" w:name="Tc_0zGs9aMpGU2kga12ywgmrg_21_0"/>
      <w:bookmarkStart w:id="156" w:name="Tc_rh1Eyyja1ESrw8E54yL9BA_20_0"/>
      <w:bookmarkStart w:id="157" w:name="Tc_FR6ew9b02UexSE4FYrrOFA_19_0"/>
      <w:bookmarkStart w:id="158" w:name="Tc_-JhuX3nPGESjlWvpyUuckg_18_0"/>
      <w:bookmarkStart w:id="159" w:name="Tc_9GoIlv4OxU6FIJfWWSersA_16_0"/>
      <w:bookmarkStart w:id="160" w:name="Tc_0iO53Gf9AUuWsyqUmlQrEQ_13_0"/>
      <w:bookmarkStart w:id="161" w:name="Tc_TEM3bpbh-0G3dGp5QRnzIQ_12_0"/>
      <w:bookmarkStart w:id="162" w:name="Tc_mNx8KBJtSEikw4DeEOWaYA_11_0"/>
      <w:bookmarkStart w:id="163" w:name="Tc_uq_jNiy3dUi7qbcyfWbsog_10_0"/>
      <w:bookmarkStart w:id="164" w:name="Tc_39kPllqGHkSvvcTKScQaOw_9_0"/>
      <w:bookmarkStart w:id="165" w:name="Tc_RhwpuT4V602FvJhlpxd_nQ_8_0"/>
      <w:bookmarkStart w:id="166" w:name="Tc_WjMkAWQBGUyij4Pxlst-4Q_7_0"/>
      <w:bookmarkStart w:id="167" w:name="Tc_wzfRFfZKvEm_RcKogNzZCw_5_0"/>
      <w:bookmarkStart w:id="168" w:name="Tc_fvDnv8NPnUuB4ysHuNAIIw_4_10"/>
      <w:bookmarkStart w:id="169" w:name="Tc_rrfmFycz-0qCz8d7UbJbtg_4_7"/>
      <w:bookmarkStart w:id="170" w:name="Tc_QzuDclOaiEWhTlhl7XEZ9A_4_4"/>
      <w:bookmarkStart w:id="171" w:name="Tc_060dnv2G60uaVbGwa-rvWA_4_1"/>
      <w:bookmarkStart w:id="172" w:name="Tc_KLNII0iogEOlp1H7LplhBA_4_0"/>
      <w:bookmarkStart w:id="173" w:name="Tc_DnNVzjc-kEuD5KvydwQtnA_3_0"/>
      <w:bookmarkStart w:id="174" w:name="Tc_9ITkNCkhv0GR24gmAOBTOg_2_10"/>
      <w:bookmarkStart w:id="175" w:name="Tc_aY6OjGEHUEC3y29tgFk5VQ_2_7"/>
      <w:bookmarkStart w:id="176" w:name="Tc_IvTGxZ7fsku9pYwZ6J8Ehg_2_4"/>
      <w:bookmarkStart w:id="177" w:name="Tc_-Xcb2X8cnkKwySC2RdJz_Q_2_1"/>
      <w:bookmarkStart w:id="178" w:name="Tc_mSgccT9yPkOW_ISb9v0x7w_1_7"/>
      <w:bookmarkStart w:id="179" w:name="Tc_HGRvn8jzO0K3CaeKodZ_Bw_1_1"/>
      <w:bookmarkStart w:id="180" w:name="_cb445f2f_6857_4e59_88fd_57a1f12bc142"/>
      <w:bookmarkStart w:id="181" w:name="Tc_XPh2_dTFLESiKkuqqlqpmA_40_0"/>
      <w:bookmarkStart w:id="182" w:name="Tc_-LEGBVT-BkqIGpWmTSiBOg_38_0"/>
      <w:bookmarkStart w:id="183" w:name="Tc_43XYYba2bESJjQOq_BmlzA_36_10"/>
      <w:bookmarkStart w:id="184" w:name="Tc_H0MEbqDUGUSY72Qr556f8w_36_7"/>
      <w:bookmarkStart w:id="185" w:name="Tc_rxHrvpKvZU6pZTAoVqxb2g_36_4"/>
      <w:bookmarkStart w:id="186" w:name="Tc_lGE5N-JSREersjHNB2Qntg_36_1"/>
      <w:bookmarkStart w:id="187" w:name="Tc_vk3BKWfGKE27p34eIwJKaw_36_0"/>
      <w:bookmarkStart w:id="188" w:name="Tc_VAsnk9AY60qUQPQUCWpmMQ_34_10"/>
      <w:bookmarkStart w:id="189" w:name="Tc_Vi_mnKf-D0eeAIGtdmAWUQ_34_7"/>
      <w:bookmarkStart w:id="190" w:name="Tc_VLxNbjIBDUmKCHUDI0D4Qg_34_4"/>
      <w:bookmarkStart w:id="191" w:name="Tc_H5w0U-NR4E6bWNPwPJS9LA_34_1"/>
      <w:bookmarkStart w:id="192" w:name="Tc_iwAMF9iKQEmnCrztHW6NNg_34_0"/>
      <w:bookmarkStart w:id="193" w:name="Tc_yHWD98fK5Uq4pii9NQz-Zg_32_10"/>
      <w:bookmarkStart w:id="194" w:name="Tc_0ckhn-_kF0CpG63IpY70IQ_32_7"/>
      <w:bookmarkStart w:id="195" w:name="Tc_I9HdtKbfJ0OX1qcZvGBwCQ_32_4"/>
      <w:bookmarkStart w:id="196" w:name="Tc_aQJgB9ERF0OSzvSmmB2gLQ_32_1"/>
      <w:bookmarkStart w:id="197" w:name="Tc_P6ZExS0T3EusZrbNv5S8gw_32_0"/>
      <w:bookmarkStart w:id="198" w:name="Tc_pKU6UlpYuU2Wf42S6Ozzqg_30_0"/>
      <w:bookmarkStart w:id="199" w:name="Tc_aJSdb6fh40a830PXnmjrZA_29_0"/>
      <w:bookmarkStart w:id="200" w:name="Tc_tl_cxWgIyUSHA3p7LuG43g_27_0"/>
      <w:bookmarkStart w:id="201" w:name="Tc_TDL12zla1U6kBcmsu31sQQ_25_0"/>
      <w:bookmarkStart w:id="202" w:name="Tc_lQcYivTYFkia88RvV5vWaw_23_0"/>
      <w:bookmarkStart w:id="203" w:name="Tc_0zGs9aMpGU2kga12ywgmrg_21_0"/>
      <w:bookmarkStart w:id="204" w:name="Tc_rh1Eyyja1ESrw8E54yL9BA_20_0"/>
      <w:bookmarkStart w:id="205" w:name="Tc_FR6ew9b02UexSE4FYrrOFA_19_0"/>
      <w:bookmarkStart w:id="206" w:name="Tc_-JhuX3nPGESjlWvpyUuckg_18_0"/>
      <w:bookmarkStart w:id="207" w:name="Tc_9GoIlv4OxU6FIJfWWSersA_16_0"/>
      <w:bookmarkStart w:id="208" w:name="Tc_0iO53Gf9AUuWsyqUmlQrEQ_13_0"/>
      <w:bookmarkStart w:id="209" w:name="Tc_TEM3bpbh-0G3dGp5QRnzIQ_12_0"/>
      <w:bookmarkStart w:id="210" w:name="Tc_mNx8KBJtSEikw4DeEOWaYA_11_0"/>
      <w:bookmarkStart w:id="211" w:name="Tc_uq_jNiy3dUi7qbcyfWbsog_10_0"/>
      <w:bookmarkStart w:id="212" w:name="Tc_39kPllqGHkSvvcTKScQaOw_9_0"/>
      <w:bookmarkStart w:id="213" w:name="Tc_RhwpuT4V602FvJhlpxd_nQ_8_0"/>
      <w:bookmarkStart w:id="214" w:name="Tc_WjMkAWQBGUyij4Pxlst-4Q_7_0"/>
      <w:bookmarkStart w:id="215" w:name="Tc_wzfRFfZKvEm_RcKogNzZCw_5_0"/>
      <w:bookmarkStart w:id="216" w:name="Tc_fvDnv8NPnUuB4ysHuNAIIw_4_10"/>
      <w:bookmarkStart w:id="217" w:name="Tc_rrfmFycz-0qCz8d7UbJbtg_4_7"/>
      <w:bookmarkStart w:id="218" w:name="Tc_QzuDclOaiEWhTlhl7XEZ9A_4_4"/>
      <w:bookmarkStart w:id="219" w:name="Tc_060dnv2G60uaVbGwa-rvWA_4_1"/>
      <w:bookmarkStart w:id="220" w:name="Tc_KLNII0iogEOlp1H7LplhBA_4_0"/>
      <w:bookmarkStart w:id="221" w:name="Tc_DnNVzjc-kEuD5KvydwQtnA_3_0"/>
      <w:bookmarkStart w:id="222" w:name="Tc_9ITkNCkhv0GR24gmAOBTOg_2_10"/>
      <w:bookmarkStart w:id="223" w:name="Tc_aY6OjGEHUEC3y29tgFk5VQ_2_7"/>
      <w:bookmarkStart w:id="224" w:name="Tc_IvTGxZ7fsku9pYwZ6J8Ehg_2_4"/>
      <w:bookmarkStart w:id="225" w:name="Tc_-Xcb2X8cnkKwySC2RdJz_Q_2_1"/>
      <w:bookmarkStart w:id="226" w:name="Tc_mSgccT9yPkOW_ISb9v0x7w_1_7"/>
      <w:bookmarkStart w:id="227" w:name="Tc_HGRvn8jzO0K3CaeKodZ_Bw_1_1"/>
      <w:bookmarkStart w:id="228" w:name="_cb445f2f_6857_4e59_88fd_57a1f12bc142"/>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tbl>
      <w:tblPr>
        <w:tblW w:w="10205" w:type="dxa"/>
        <w:jc w:val="left"/>
        <w:tblInd w:w="0" w:type="dxa"/>
        <w:tblLayout w:type="fixed"/>
        <w:tblCellMar>
          <w:top w:w="0" w:type="dxa"/>
          <w:left w:w="0" w:type="dxa"/>
          <w:bottom w:w="0" w:type="dxa"/>
          <w:right w:w="0" w:type="dxa"/>
        </w:tblCellMar>
      </w:tblPr>
      <w:tblGrid>
        <w:gridCol w:w="4174"/>
        <w:gridCol w:w="214"/>
        <w:gridCol w:w="1000"/>
        <w:gridCol w:w="355"/>
        <w:gridCol w:w="214"/>
        <w:gridCol w:w="1000"/>
        <w:gridCol w:w="326"/>
        <w:gridCol w:w="209"/>
        <w:gridCol w:w="980"/>
        <w:gridCol w:w="348"/>
        <w:gridCol w:w="209"/>
        <w:gridCol w:w="980"/>
        <w:gridCol w:w="196"/>
      </w:tblGrid>
      <w:tr>
        <w:trPr/>
        <w:tc>
          <w:tcPr>
            <w:tcW w:w="4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50490" cy="175260"/>
                      <wp:effectExtent l="0" t="0" r="0" b="0"/>
                      <wp:wrapNone/>
                      <wp:docPr id="11" name="Frame11"/>
                      <a:graphic xmlns:a="http://schemas.openxmlformats.org/drawingml/2006/main">
                        <a:graphicData uri="http://schemas.microsoft.com/office/word/2010/wordprocessingShape">
                          <wps:wsp>
                            <wps:cNvSpPr txBox="1"/>
                            <wps:spPr>
                              <a:xfrm>
                                <a:off x="0" y="0"/>
                                <a:ext cx="2650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5890" cy="175260"/>
                      <wp:effectExtent l="0" t="0" r="0" b="0"/>
                      <wp:wrapNone/>
                      <wp:docPr id="12" name="Frame1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35000" cy="175260"/>
                      <wp:effectExtent l="0" t="0" r="0" b="0"/>
                      <wp:wrapNone/>
                      <wp:docPr id="13" name="Frame13"/>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5425" cy="175260"/>
                      <wp:effectExtent l="0" t="0" r="0" b="0"/>
                      <wp:wrapNone/>
                      <wp:docPr id="14" name="Frame14"/>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5890" cy="175260"/>
                      <wp:effectExtent l="0" t="0" r="0" b="0"/>
                      <wp:wrapNone/>
                      <wp:docPr id="15" name="Frame1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35000" cy="175260"/>
                      <wp:effectExtent l="0" t="0" r="0" b="0"/>
                      <wp:wrapNone/>
                      <wp:docPr id="16" name="Frame16"/>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2715" cy="175260"/>
                      <wp:effectExtent l="0" t="0" r="0" b="0"/>
                      <wp:wrapNone/>
                      <wp:docPr id="18" name="Frame18"/>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22300" cy="175260"/>
                      <wp:effectExtent l="0" t="0" r="0" b="0"/>
                      <wp:wrapNone/>
                      <wp:docPr id="19" name="Frame19"/>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0980" cy="175260"/>
                      <wp:effectExtent l="0" t="0" r="0" b="0"/>
                      <wp:wrapNone/>
                      <wp:docPr id="20" name="Frame20"/>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2715" cy="175260"/>
                      <wp:effectExtent l="0" t="0" r="0" b="0"/>
                      <wp:wrapNone/>
                      <wp:docPr id="21" name="Frame21"/>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22300" cy="175260"/>
                      <wp:effectExtent l="0" t="0" r="0" b="0"/>
                      <wp:wrapNone/>
                      <wp:docPr id="22" name="Frame22"/>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278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72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121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55" w:type="dxa"/>
            <w:tcBorders/>
            <w:vAlign w:val="center"/>
          </w:tcPr>
          <w:p>
            <w:pPr>
              <w:pStyle w:val="TableContents"/>
              <w:bidi w:val="0"/>
              <w:spacing w:lineRule="auto" w:line="285" w:before="0" w:after="0"/>
              <w:ind w:left="0" w:right="0" w:hanging="0"/>
              <w:jc w:val="left"/>
              <w:rPr/>
            </w:pPr>
            <w:r>
              <w:rPr/>
              <w:t>    </w:t>
            </w:r>
          </w:p>
        </w:tc>
        <w:tc>
          <w:tcPr>
            <w:tcW w:w="121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8" w:type="dxa"/>
            <w:tcBorders/>
            <w:vAlign w:val="center"/>
          </w:tcPr>
          <w:p>
            <w:pPr>
              <w:pStyle w:val="TableContents"/>
              <w:bidi w:val="0"/>
              <w:spacing w:lineRule="auto" w:line="285" w:before="0" w:after="0"/>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6" w:type="dxa"/>
            <w:tcBorders/>
            <w:vAlign w:val="center"/>
          </w:tcPr>
          <w:p>
            <w:pPr>
              <w:pStyle w:val="TableContents"/>
              <w:bidi w:val="0"/>
              <w:spacing w:lineRule="auto" w:line="285" w:before="0" w:after="0"/>
              <w:ind w:left="0" w:right="0" w:hanging="0"/>
              <w:jc w:val="left"/>
              <w:rPr/>
            </w:pPr>
            <w:r>
              <w:rPr/>
              <w:t> </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lef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lef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14,942</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4,663</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38,936</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39,727</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7,804</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9,758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9,739</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18,790</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22,746</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14,421</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48,675</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58,517</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12,655</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6,393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31,216</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31,712</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7,804</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9,758</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9,739</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18,790</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214" w:type="dxa"/>
            <w:tcBorders/>
            <w:shd w:fill="CCEEFF" w:val="clear"/>
            <w:vAlign w:val="center"/>
          </w:tcPr>
          <w:p>
            <w:pPr>
              <w:pStyle w:val="TableContents"/>
              <w:bidi w:val="0"/>
              <w:spacing w:lineRule="auto" w:line="285" w:before="0" w:after="0"/>
              <w:ind w:left="0" w:right="0" w:hanging="0"/>
              <w:jc w:val="left"/>
              <w:rPr/>
            </w:pPr>
            <w:r>
              <w:rPr/>
              <w:t> </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20,459</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 </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16,151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 </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40,955</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 </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50,502</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214" w:type="dxa"/>
            <w:tcBorders/>
            <w:vAlign w:val="center"/>
          </w:tcPr>
          <w:p>
            <w:pPr>
              <w:pStyle w:val="TableContents"/>
              <w:bidi w:val="0"/>
              <w:spacing w:lineRule="auto" w:line="285" w:before="0" w:after="0"/>
              <w:ind w:left="0" w:right="0" w:hanging="0"/>
              <w:jc w:val="left"/>
              <w:rPr/>
            </w:pPr>
            <w:r>
              <w:rPr/>
              <w:t> </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2,110</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 </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2,630</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6,435</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7,347</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3,794</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4,383</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23,918</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20,169</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51,184</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62,232</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from operations</w:t>
            </w:r>
          </w:p>
        </w:tc>
        <w:tc>
          <w:tcPr>
            <w:tcW w:w="214" w:type="dxa"/>
            <w:tcBorders/>
            <w:vAlign w:val="center"/>
          </w:tcPr>
          <w:p>
            <w:pPr>
              <w:pStyle w:val="TableContents"/>
              <w:bidi w:val="0"/>
              <w:spacing w:lineRule="auto" w:line="285" w:before="0" w:after="0"/>
              <w:ind w:left="0" w:right="0" w:hanging="0"/>
              <w:jc w:val="left"/>
              <w:rPr/>
            </w:pPr>
            <w:r>
              <w:rPr/>
              <w:t> </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(1,172)</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 </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(5,748)</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(2,509)</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(3,715)</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290</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214" w:type="dxa"/>
            <w:tcBorders/>
            <w:vAlign w:val="center"/>
          </w:tcPr>
          <w:p>
            <w:pPr>
              <w:pStyle w:val="TableContents"/>
              <w:bidi w:val="0"/>
              <w:spacing w:lineRule="auto" w:line="285" w:before="0" w:after="0"/>
              <w:ind w:left="0" w:right="0" w:hanging="0"/>
              <w:jc w:val="left"/>
              <w:rPr/>
            </w:pPr>
            <w:r>
              <w:rPr/>
              <w:t> </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 </w:t>
            </w:r>
          </w:p>
        </w:tc>
        <w:tc>
          <w:tcPr>
            <w:tcW w:w="100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98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w:t>
            </w:r>
          </w:p>
        </w:tc>
        <w:tc>
          <w:tcPr>
            <w:tcW w:w="214" w:type="dxa"/>
            <w:tcBorders/>
            <w:shd w:fill="CCEEFF" w:val="clear"/>
            <w:vAlign w:val="center"/>
          </w:tcPr>
          <w:p>
            <w:pPr>
              <w:pStyle w:val="TableContents"/>
              <w:bidi w:val="0"/>
              <w:spacing w:lineRule="auto" w:line="285" w:before="0" w:after="0"/>
              <w:ind w:left="0" w:right="0" w:hanging="0"/>
              <w:jc w:val="left"/>
              <w:rPr/>
            </w:pPr>
            <w:r>
              <w:rPr/>
              <w:t> </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(1,143)</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 </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(5,652)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 </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(2,504)</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 </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(3,281)</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 </w:t>
            </w:r>
          </w:p>
        </w:tc>
        <w:tc>
          <w:tcPr>
            <w:tcW w:w="1000" w:type="dxa"/>
            <w:tcBorders/>
            <w:vAlign w:val="center"/>
          </w:tcPr>
          <w:p>
            <w:pPr>
              <w:pStyle w:val="TableContents"/>
              <w:bidi w:val="0"/>
              <w:spacing w:lineRule="auto" w:line="285" w:before="0" w:after="0"/>
              <w:ind w:left="0" w:right="0" w:hanging="0"/>
              <w:jc w:val="left"/>
              <w:rPr/>
            </w:pPr>
            <w:r>
              <w:rPr/>
              <w:t>​</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left"/>
              <w:rPr/>
            </w:pPr>
            <w:r>
              <w:rPr/>
              <w:t>​</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(1,153)</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(2,510)</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(3,317)</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1000"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980"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(loss) income on foreign exchange rate translation</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(1,224)</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(5,588)</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(2,134)</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(3,558)</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Basic loss per share of common stock</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Diluted loss per share of common stock</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31,047,801</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30,906,777</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31,006,304</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30,845,076</w:t>
            </w:r>
          </w:p>
        </w:tc>
        <w:tc>
          <w:tcPr>
            <w:tcW w:w="196" w:type="dxa"/>
            <w:tcBorders/>
            <w:vAlign w:val="center"/>
          </w:tcPr>
          <w:p>
            <w:pPr>
              <w:pStyle w:val="TableContents"/>
              <w:bidi w:val="0"/>
              <w:spacing w:lineRule="auto" w:line="285" w:before="0" w:after="0"/>
              <w:ind w:left="0" w:right="0" w:hanging="0"/>
              <w:jc w:val="left"/>
              <w:rPr/>
            </w:pPr>
            <w:r>
              <w:rPr/>
              <w:t>​</w:t>
            </w:r>
          </w:p>
        </w:tc>
      </w:tr>
      <w:tr>
        <w:trPr/>
        <w:tc>
          <w:tcPr>
            <w:tcW w:w="4174"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55"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0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w:t>
            </w:r>
          </w:p>
        </w:tc>
        <w:tc>
          <w:tcPr>
            <w:tcW w:w="209" w:type="dxa"/>
            <w:tcBorders/>
            <w:shd w:fill="CCEEFF" w:val="clear"/>
            <w:vAlign w:val="center"/>
          </w:tcPr>
          <w:p>
            <w:pPr>
              <w:pStyle w:val="TableContents"/>
              <w:bidi w:val="0"/>
              <w:spacing w:lineRule="auto" w:line="285" w:before="0" w:after="0"/>
              <w:ind w:left="0" w:right="0" w:hanging="0"/>
              <w:jc w:val="left"/>
              <w:rPr/>
            </w:pPr>
            <w:r>
              <w:rPr/>
              <w:t>​</w:t>
            </w:r>
          </w:p>
        </w:tc>
        <w:tc>
          <w:tcPr>
            <w:tcW w:w="980"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r>
      <w:tr>
        <w:trPr/>
        <w:tc>
          <w:tcPr>
            <w:tcW w:w="417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 - assuming dilution</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31,047,801</w:t>
            </w:r>
          </w:p>
        </w:tc>
        <w:tc>
          <w:tcPr>
            <w:tcW w:w="355"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30,906,777</w:t>
            </w:r>
          </w:p>
        </w:tc>
        <w:tc>
          <w:tcPr>
            <w:tcW w:w="326"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31,006,304</w:t>
            </w:r>
          </w:p>
        </w:tc>
        <w:tc>
          <w:tcPr>
            <w:tcW w:w="348" w:type="dxa"/>
            <w:tcBorders/>
            <w:vAlign w:val="center"/>
          </w:tcPr>
          <w:p>
            <w:pPr>
              <w:pStyle w:val="TableContents"/>
              <w:bidi w:val="0"/>
              <w:spacing w:lineRule="auto" w:line="285"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30,845,076</w:t>
            </w:r>
          </w:p>
        </w:tc>
        <w:tc>
          <w:tcPr>
            <w:tcW w:w="19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24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229" w:name="_2ded2b3d_411e_426b_944b_4c35fd3980b9"/>
      <w:bookmarkEnd w:id="229"/>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230" w:name="CASHFLOWS_208457"/>
      <w:bookmarkEnd w:id="230"/>
      <w:r>
        <w:rPr>
          <w:rFonts w:ascii="Times New Roman;Times;serif" w:hAnsi="Times New Roman;Times;serif"/>
          <w:b/>
          <w:sz w:val="18"/>
        </w:rPr>
        <w:t>CONDENSED CONSOLIDATED STATEMENTS OF CASH FLOWS</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w:t>
      </w:r>
    </w:p>
    <w:p>
      <w:pPr>
        <w:pStyle w:val="Normal"/>
        <w:bidi w:val="0"/>
        <w:spacing w:before="0" w:after="0"/>
        <w:jc w:val="left"/>
        <w:rPr>
          <w:sz w:val="4"/>
          <w:szCs w:val="4"/>
        </w:rPr>
      </w:pPr>
      <w:r>
        <w:rPr>
          <w:sz w:val="4"/>
          <w:szCs w:val="4"/>
        </w:rPr>
      </w:r>
      <w:bookmarkStart w:id="231" w:name="Tc_JA0CvQyEs0aU-pkeAvkceQ_55_6"/>
      <w:bookmarkStart w:id="232" w:name="Tc_UPbeNizUlUuNisBe6u7YvQ_55_5"/>
      <w:bookmarkStart w:id="233" w:name="Tc_SzWxmJZOPEqZw0JfAAaiEA_55_2"/>
      <w:bookmarkStart w:id="234" w:name="Tc_EPaoabKD2Ui1fgnfoXCzkQ_55_0"/>
      <w:bookmarkStart w:id="235" w:name="Tc_sur8KzaVw02QdulUlaSPlA_54_6"/>
      <w:bookmarkStart w:id="236" w:name="Tc_7rYgkw80gkeQJtFfjxrIIg_54_5"/>
      <w:bookmarkStart w:id="237" w:name="Tc_zdM6E8wGikyXd51Bvk6pFg_54_2"/>
      <w:bookmarkStart w:id="238" w:name="Tc_Sxy8wHWK80WVea-z_ZAsxg_54_0"/>
      <w:bookmarkStart w:id="239" w:name="Tc_lHHu-hurCEOGOXM1pC1biQ_53_6"/>
      <w:bookmarkStart w:id="240" w:name="Tc_-b4eq5-DQESG1rLZRa4RKg_53_5"/>
      <w:bookmarkStart w:id="241" w:name="Tc_sV32PEXmzUOi-2OBXQU-QQ_53_2"/>
      <w:bookmarkStart w:id="242" w:name="Tc_oVyT6DKF20OdeMaNZkSJrQ_53_0"/>
      <w:bookmarkStart w:id="243" w:name="Tc_X4_CJymYk0-78tq8Opuhqg_52_5"/>
      <w:bookmarkStart w:id="244" w:name="Tc_6QtsBv-22kqp_SDMViNWIQ_52_2"/>
      <w:bookmarkStart w:id="245" w:name="Tc_xLZnaMBFl0iTgO24zxZT4w_52_0"/>
      <w:bookmarkStart w:id="246" w:name="Tc_LPP3CzsfRECmzsIV09fD5A_51_5"/>
      <w:bookmarkStart w:id="247" w:name="Tc_8lGk3YEmIkOvSUIqVA0EQA_51_2"/>
      <w:bookmarkStart w:id="248" w:name="Tc_e0SC3ki4KUaC50iRTcfQQA_51_0"/>
      <w:bookmarkStart w:id="249" w:name="Tc_8cl9-TsjokGz6ZeYaZyK0g_50_0"/>
      <w:bookmarkStart w:id="250" w:name="Tc_fLTey_hu0UCzbH1c4vj5Yg_48_5"/>
      <w:bookmarkStart w:id="251" w:name="Tc_fGEut8Dz8kOGtXFMWY634A_48_3"/>
      <w:bookmarkStart w:id="252" w:name="Tc_ggyEYMAdl0CsfnhNdqza-w_48_2"/>
      <w:bookmarkStart w:id="253" w:name="Tc_TP3JPT01sEuP7OC1Ujmsaw_48_0"/>
      <w:bookmarkStart w:id="254" w:name="Tc_z5EgV1DR-Ea2JLFii5JTTA_47_5"/>
      <w:bookmarkStart w:id="255" w:name="Tc_ygfRAIQxfEiHJQuDKN__og_47_2"/>
      <w:bookmarkStart w:id="256" w:name="Tc_ldtE12cni0OGcEjI4OMRaA_47_0"/>
      <w:bookmarkStart w:id="257" w:name="Tc_QyYGNtrhyEiIm9dmidOn8g_46_0"/>
      <w:bookmarkStart w:id="258" w:name="Tc__rqByOVjZ02gRNCtqoerMw_44_5"/>
      <w:bookmarkStart w:id="259" w:name="Tc_e43jY0YAwEWH4frEma3eUQ_44_2"/>
      <w:bookmarkStart w:id="260" w:name="Tc_VtSIpYqyvkmfFljNpsey4Q_44_0"/>
      <w:bookmarkStart w:id="261" w:name="Tc_RVPW-NYntUGwVpZiR93zQw_42_0"/>
      <w:bookmarkStart w:id="262" w:name="Tc_Vm20hWoGe0m5ILerDhZ9nw_40_0"/>
      <w:bookmarkStart w:id="263" w:name="Tc_lcMXkR8KZk2c_LHXo0B5CQ_38_0"/>
      <w:bookmarkStart w:id="264" w:name="Tc_rKVhrJ24m02OMEkiDIHdXQ_36_0"/>
      <w:bookmarkStart w:id="265" w:name="Tc_QJ8hSIbudU-OctDmvVXOXg_34_3"/>
      <w:bookmarkStart w:id="266" w:name="Tc_MLwJplgwzEqmHpmeh6astg_34_0"/>
      <w:bookmarkStart w:id="267" w:name="Tc_EpY3vYGTakatDewlEHRc4Q_33_0"/>
      <w:bookmarkStart w:id="268" w:name="Tc_66e5nIUiWkGl3gUrAXoCRw_32_0"/>
      <w:bookmarkStart w:id="269" w:name="Tc_g2zkmY1sDUiOw1iZnhZOcw_31_0"/>
      <w:bookmarkStart w:id="270" w:name="Tc_QTXdFHWyKUOKcRYrlIuerA_30_0"/>
      <w:bookmarkStart w:id="271" w:name="Tc_nUFWbwRf_k6AwsUnQr_WGQ_28_0"/>
      <w:bookmarkStart w:id="272" w:name="Tc_xUm_9uFaY0WwsUDV2nvLhg_26_3"/>
      <w:bookmarkStart w:id="273" w:name="Tc_n4ElEHaOOEKNJQy_1-LAPA_26_0"/>
      <w:bookmarkStart w:id="274" w:name="Tc_hMfhPh8LcUmu4Zn1KuCiDA_25_0"/>
      <w:bookmarkStart w:id="275" w:name="Tc_5UMwKvox20-hwuS3bXw-mQ_24_0"/>
      <w:bookmarkStart w:id="276" w:name="Tc_mLTPz5fnMUu_C0lGU42IQw_23_0"/>
      <w:bookmarkStart w:id="277" w:name="Tc_wHXE8XUJw0KrVuMKdaROWw_21_0"/>
      <w:bookmarkStart w:id="278" w:name="Tc_Vrds2fiNU06mxvERIhOmoQ_19_0"/>
      <w:bookmarkStart w:id="279" w:name="Tc_4FikrdYFUkKxJhIqhfRL-g_18_0"/>
      <w:bookmarkStart w:id="280" w:name="Tc_PtMutrvNp0y9-PSkzftmsA_17_0"/>
      <w:bookmarkStart w:id="281" w:name="Tc_TAUFmplu3Emc2mWijG85Pw_16_0"/>
      <w:bookmarkStart w:id="282" w:name="Tc_HjP6InwxiESkMJEQUtG5Og_15_0"/>
      <w:bookmarkStart w:id="283" w:name="Tc_U_v2zLdeGUipCqrt6cOCdQ_14_0"/>
      <w:bookmarkStart w:id="284" w:name="Tc_Fe6hwm55A0e2B2fguTe6LQ_13_0"/>
      <w:bookmarkStart w:id="285" w:name="Tc_lgYnrIcj9keuVTpKoBGSdA_12_0"/>
      <w:bookmarkStart w:id="286" w:name="Tc_HnXE_Zzg5Ea5ff3YQcXxww_11_0"/>
      <w:bookmarkStart w:id="287" w:name="Tc_G3OI9dJYJ0q3sx-9co_mtQ_10_6"/>
      <w:bookmarkStart w:id="288" w:name="Tc_72L-7xWI0k2nQJQhjzlZQQ_10_0"/>
      <w:bookmarkStart w:id="289" w:name="Tc_qbcZhAj1YU2qOMQeVdB4tQ_9_0"/>
      <w:bookmarkStart w:id="290" w:name="Tc_gO4CM7swM0CrcI6iAjYs0g_8_0"/>
      <w:bookmarkStart w:id="291" w:name="Tc_gYiml8lVrkWQJBXlARnrYw_7_0"/>
      <w:bookmarkStart w:id="292" w:name="Tc_7ny-0ZisnkGMlEUGanmrQA_6_0"/>
      <w:bookmarkStart w:id="293" w:name="Tc_HYeDV1yAHkOiUnS3PXAISA_4_5"/>
      <w:bookmarkStart w:id="294" w:name="Tc_qnUwXZOfCUuFf_ZHCt9vKA_4_2"/>
      <w:bookmarkStart w:id="295" w:name="Tc_mDNsRWfwoUePaSCfT8Z6aQ_4_0"/>
      <w:bookmarkStart w:id="296" w:name="Tc_jWKfnMcMzkS8-V8_o0RmLw_3_0"/>
      <w:bookmarkStart w:id="297" w:name="Tc_oUVH1tJoi0GWhiV2MEo3wQ_2_5"/>
      <w:bookmarkStart w:id="298" w:name="Tc_T75_yzWS-kaZMVMIXRqdAA_2_2"/>
      <w:bookmarkStart w:id="299" w:name="Tc_w5tyXyBGw06OLS3WPIb43Q_1_2"/>
      <w:bookmarkStart w:id="300" w:name="_78e16cce_20f5_46b8_991e_ad7843ff4ad2"/>
      <w:bookmarkStart w:id="301" w:name="Tc_JA0CvQyEs0aU-pkeAvkceQ_55_6"/>
      <w:bookmarkStart w:id="302" w:name="Tc_UPbeNizUlUuNisBe6u7YvQ_55_5"/>
      <w:bookmarkStart w:id="303" w:name="Tc_SzWxmJZOPEqZw0JfAAaiEA_55_2"/>
      <w:bookmarkStart w:id="304" w:name="Tc_EPaoabKD2Ui1fgnfoXCzkQ_55_0"/>
      <w:bookmarkStart w:id="305" w:name="Tc_sur8KzaVw02QdulUlaSPlA_54_6"/>
      <w:bookmarkStart w:id="306" w:name="Tc_7rYgkw80gkeQJtFfjxrIIg_54_5"/>
      <w:bookmarkStart w:id="307" w:name="Tc_zdM6E8wGikyXd51Bvk6pFg_54_2"/>
      <w:bookmarkStart w:id="308" w:name="Tc_Sxy8wHWK80WVea-z_ZAsxg_54_0"/>
      <w:bookmarkStart w:id="309" w:name="Tc_lHHu-hurCEOGOXM1pC1biQ_53_6"/>
      <w:bookmarkStart w:id="310" w:name="Tc_-b4eq5-DQESG1rLZRa4RKg_53_5"/>
      <w:bookmarkStart w:id="311" w:name="Tc_sV32PEXmzUOi-2OBXQU-QQ_53_2"/>
      <w:bookmarkStart w:id="312" w:name="Tc_oVyT6DKF20OdeMaNZkSJrQ_53_0"/>
      <w:bookmarkStart w:id="313" w:name="Tc_X4_CJymYk0-78tq8Opuhqg_52_5"/>
      <w:bookmarkStart w:id="314" w:name="Tc_6QtsBv-22kqp_SDMViNWIQ_52_2"/>
      <w:bookmarkStart w:id="315" w:name="Tc_xLZnaMBFl0iTgO24zxZT4w_52_0"/>
      <w:bookmarkStart w:id="316" w:name="Tc_LPP3CzsfRECmzsIV09fD5A_51_5"/>
      <w:bookmarkStart w:id="317" w:name="Tc_8lGk3YEmIkOvSUIqVA0EQA_51_2"/>
      <w:bookmarkStart w:id="318" w:name="Tc_e0SC3ki4KUaC50iRTcfQQA_51_0"/>
      <w:bookmarkStart w:id="319" w:name="Tc_8cl9-TsjokGz6ZeYaZyK0g_50_0"/>
      <w:bookmarkStart w:id="320" w:name="Tc_fLTey_hu0UCzbH1c4vj5Yg_48_5"/>
      <w:bookmarkStart w:id="321" w:name="Tc_fGEut8Dz8kOGtXFMWY634A_48_3"/>
      <w:bookmarkStart w:id="322" w:name="Tc_ggyEYMAdl0CsfnhNdqza-w_48_2"/>
      <w:bookmarkStart w:id="323" w:name="Tc_TP3JPT01sEuP7OC1Ujmsaw_48_0"/>
      <w:bookmarkStart w:id="324" w:name="Tc_z5EgV1DR-Ea2JLFii5JTTA_47_5"/>
      <w:bookmarkStart w:id="325" w:name="Tc_ygfRAIQxfEiHJQuDKN__og_47_2"/>
      <w:bookmarkStart w:id="326" w:name="Tc_ldtE12cni0OGcEjI4OMRaA_47_0"/>
      <w:bookmarkStart w:id="327" w:name="Tc_QyYGNtrhyEiIm9dmidOn8g_46_0"/>
      <w:bookmarkStart w:id="328" w:name="Tc__rqByOVjZ02gRNCtqoerMw_44_5"/>
      <w:bookmarkStart w:id="329" w:name="Tc_e43jY0YAwEWH4frEma3eUQ_44_2"/>
      <w:bookmarkStart w:id="330" w:name="Tc_VtSIpYqyvkmfFljNpsey4Q_44_0"/>
      <w:bookmarkStart w:id="331" w:name="Tc_RVPW-NYntUGwVpZiR93zQw_42_0"/>
      <w:bookmarkStart w:id="332" w:name="Tc_Vm20hWoGe0m5ILerDhZ9nw_40_0"/>
      <w:bookmarkStart w:id="333" w:name="Tc_lcMXkR8KZk2c_LHXo0B5CQ_38_0"/>
      <w:bookmarkStart w:id="334" w:name="Tc_rKVhrJ24m02OMEkiDIHdXQ_36_0"/>
      <w:bookmarkStart w:id="335" w:name="Tc_QJ8hSIbudU-OctDmvVXOXg_34_3"/>
      <w:bookmarkStart w:id="336" w:name="Tc_MLwJplgwzEqmHpmeh6astg_34_0"/>
      <w:bookmarkStart w:id="337" w:name="Tc_EpY3vYGTakatDewlEHRc4Q_33_0"/>
      <w:bookmarkStart w:id="338" w:name="Tc_66e5nIUiWkGl3gUrAXoCRw_32_0"/>
      <w:bookmarkStart w:id="339" w:name="Tc_g2zkmY1sDUiOw1iZnhZOcw_31_0"/>
      <w:bookmarkStart w:id="340" w:name="Tc_QTXdFHWyKUOKcRYrlIuerA_30_0"/>
      <w:bookmarkStart w:id="341" w:name="Tc_nUFWbwRf_k6AwsUnQr_WGQ_28_0"/>
      <w:bookmarkStart w:id="342" w:name="Tc_xUm_9uFaY0WwsUDV2nvLhg_26_3"/>
      <w:bookmarkStart w:id="343" w:name="Tc_n4ElEHaOOEKNJQy_1-LAPA_26_0"/>
      <w:bookmarkStart w:id="344" w:name="Tc_hMfhPh8LcUmu4Zn1KuCiDA_25_0"/>
      <w:bookmarkStart w:id="345" w:name="Tc_5UMwKvox20-hwuS3bXw-mQ_24_0"/>
      <w:bookmarkStart w:id="346" w:name="Tc_mLTPz5fnMUu_C0lGU42IQw_23_0"/>
      <w:bookmarkStart w:id="347" w:name="Tc_wHXE8XUJw0KrVuMKdaROWw_21_0"/>
      <w:bookmarkStart w:id="348" w:name="Tc_Vrds2fiNU06mxvERIhOmoQ_19_0"/>
      <w:bookmarkStart w:id="349" w:name="Tc_4FikrdYFUkKxJhIqhfRL-g_18_0"/>
      <w:bookmarkStart w:id="350" w:name="Tc_PtMutrvNp0y9-PSkzftmsA_17_0"/>
      <w:bookmarkStart w:id="351" w:name="Tc_TAUFmplu3Emc2mWijG85Pw_16_0"/>
      <w:bookmarkStart w:id="352" w:name="Tc_HjP6InwxiESkMJEQUtG5Og_15_0"/>
      <w:bookmarkStart w:id="353" w:name="Tc_U_v2zLdeGUipCqrt6cOCdQ_14_0"/>
      <w:bookmarkStart w:id="354" w:name="Tc_Fe6hwm55A0e2B2fguTe6LQ_13_0"/>
      <w:bookmarkStart w:id="355" w:name="Tc_lgYnrIcj9keuVTpKoBGSdA_12_0"/>
      <w:bookmarkStart w:id="356" w:name="Tc_HnXE_Zzg5Ea5ff3YQcXxww_11_0"/>
      <w:bookmarkStart w:id="357" w:name="Tc_G3OI9dJYJ0q3sx-9co_mtQ_10_6"/>
      <w:bookmarkStart w:id="358" w:name="Tc_72L-7xWI0k2nQJQhjzlZQQ_10_0"/>
      <w:bookmarkStart w:id="359" w:name="Tc_qbcZhAj1YU2qOMQeVdB4tQ_9_0"/>
      <w:bookmarkStart w:id="360" w:name="Tc_gO4CM7swM0CrcI6iAjYs0g_8_0"/>
      <w:bookmarkStart w:id="361" w:name="Tc_gYiml8lVrkWQJBXlARnrYw_7_0"/>
      <w:bookmarkStart w:id="362" w:name="Tc_7ny-0ZisnkGMlEUGanmrQA_6_0"/>
      <w:bookmarkStart w:id="363" w:name="Tc_HYeDV1yAHkOiUnS3PXAISA_4_5"/>
      <w:bookmarkStart w:id="364" w:name="Tc_qnUwXZOfCUuFf_ZHCt9vKA_4_2"/>
      <w:bookmarkStart w:id="365" w:name="Tc_mDNsRWfwoUePaSCfT8Z6aQ_4_0"/>
      <w:bookmarkStart w:id="366" w:name="Tc_jWKfnMcMzkS8-V8_o0RmLw_3_0"/>
      <w:bookmarkStart w:id="367" w:name="Tc_oUVH1tJoi0GWhiV2MEo3wQ_2_5"/>
      <w:bookmarkStart w:id="368" w:name="Tc_T75_yzWS-kaZMVMIXRqdAA_2_2"/>
      <w:bookmarkStart w:id="369" w:name="Tc_w5tyXyBGw06OLS3WPIb43Q_1_2"/>
      <w:bookmarkStart w:id="370" w:name="_78e16cce_20f5_46b8_991e_ad7843ff4ad2"/>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tbl>
      <w:tblPr>
        <w:tblW w:w="9156" w:type="dxa"/>
        <w:jc w:val="left"/>
        <w:tblInd w:w="0" w:type="dxa"/>
        <w:tblLayout w:type="fixed"/>
        <w:tblCellMar>
          <w:top w:w="0" w:type="dxa"/>
          <w:left w:w="0" w:type="dxa"/>
          <w:bottom w:w="0" w:type="dxa"/>
          <w:right w:w="0" w:type="dxa"/>
        </w:tblCellMar>
      </w:tblPr>
      <w:tblGrid>
        <w:gridCol w:w="5791"/>
        <w:gridCol w:w="326"/>
        <w:gridCol w:w="269"/>
        <w:gridCol w:w="869"/>
        <w:gridCol w:w="448"/>
        <w:gridCol w:w="269"/>
        <w:gridCol w:w="993"/>
        <w:gridCol w:w="191"/>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677285" cy="175260"/>
                      <wp:effectExtent l="0" t="0" r="0" b="0"/>
                      <wp:wrapNone/>
                      <wp:docPr id="24" name="Frame24"/>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0815" cy="175260"/>
                      <wp:effectExtent l="0" t="0" r="0" b="0"/>
                      <wp:wrapNone/>
                      <wp:docPr id="26" name="Frame26"/>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51815" cy="175260"/>
                      <wp:effectExtent l="0" t="0" r="0" b="0"/>
                      <wp:wrapNone/>
                      <wp:docPr id="27" name="Frame2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84480" cy="175260"/>
                      <wp:effectExtent l="0" t="0" r="0" b="0"/>
                      <wp:wrapNone/>
                      <wp:docPr id="28" name="Frame2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0815" cy="175260"/>
                      <wp:effectExtent l="0" t="0" r="0" b="0"/>
                      <wp:wrapNone/>
                      <wp:docPr id="29" name="Frame29"/>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30555" cy="175260"/>
                      <wp:effectExtent l="0" t="0" r="0" b="0"/>
                      <wp:wrapNone/>
                      <wp:docPr id="30" name="Frame3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1285" cy="175260"/>
                      <wp:effectExtent l="0" t="0" r="0" b="0"/>
                      <wp:wrapNone/>
                      <wp:docPr id="31" name="Frame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84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48" w:type="dxa"/>
            <w:tcBorders/>
            <w:vAlign w:val="center"/>
          </w:tcPr>
          <w:p>
            <w:pPr>
              <w:pStyle w:val="TableContents"/>
              <w:bidi w:val="0"/>
              <w:spacing w:lineRule="auto" w:line="285"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(2,510)</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(3,317)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lef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lef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3,794</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 </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4,383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738</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Non-cash compensation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 </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 </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Gain on disposal of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 </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(382)</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 </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lef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8,023</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9,828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decrease in prepaid expenses and other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 </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(996)</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 </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5,240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(decrease) in accounts payable</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2,073</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accrued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(427)</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Decrease in 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(836)</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(decrease) in deferred revenue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2,139</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(11,138)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11,891</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3,559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Capital expenditures, net of non-cash capital expenditures summarized below</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(6,117)</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(1,557)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393</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Proceeds from maturity of short-term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(5,724)</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Principal payments on notes payable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(1,795)</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(611)</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Tax withholdings related to stock based compensation awards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(9,860)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(2,451)</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(11,350)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righ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righ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3,696</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 </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(8,792)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and restricted cash at beginning of period</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1,385</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15,772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5,081</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6,980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Supplemental cash flow information:</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Cash paid for interest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204</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paid for income taxes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vAlign w:val="center"/>
          </w:tcPr>
          <w:p>
            <w:pPr>
              <w:pStyle w:val="TableContents"/>
              <w:bidi w:val="0"/>
              <w:spacing w:lineRule="auto" w:line="285" w:before="0" w:after="0"/>
              <w:ind w:left="0" w:right="0" w:hanging="0"/>
              <w:jc w:val="righ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Non-cash operating, investing and financing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99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(decrease) in accrued purchases of property and equipment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 leases incurred</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718</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Increase in right-of-use assets and operating lease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909</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Financed equipment purchases</w:t>
            </w:r>
          </w:p>
        </w:tc>
        <w:tc>
          <w:tcPr>
            <w:tcW w:w="326"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7,541</w:t>
            </w:r>
          </w:p>
        </w:tc>
        <w:tc>
          <w:tcPr>
            <w:tcW w:w="448"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Financed insurance premiums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1,746</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3"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40" w:after="48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371" w:name="_3116e79d_6c5f_4e24_83a9_93d8947b4e1f"/>
      <w:bookmarkEnd w:id="371"/>
      <w:r>
        <w:rPr>
          <w:rFonts w:ascii="Times New Roman;Times;serif" w:hAnsi="Times New Roman;Times;serif"/>
          <w:b/>
          <w:sz w:val="18"/>
        </w:rPr>
        <w:t>DAWSON GEOPHYSICAL COMPANY</w:t>
      </w:r>
    </w:p>
    <w:p>
      <w:pPr>
        <w:pStyle w:val="TextBody"/>
        <w:bidi w:val="0"/>
        <w:spacing w:lineRule="auto" w:line="285" w:before="0" w:after="0"/>
        <w:ind w:left="0" w:right="0" w:hanging="0"/>
        <w:jc w:val="center"/>
        <w:rPr>
          <w:rFonts w:ascii="Times New Roman;Times;serif" w:hAnsi="Times New Roman;Times;serif"/>
          <w:b/>
          <w:sz w:val="18"/>
        </w:rPr>
      </w:pPr>
      <w:bookmarkStart w:id="372" w:name="STOCKHOLDERSEQUITY_926433"/>
      <w:bookmarkEnd w:id="372"/>
      <w:r>
        <w:rPr>
          <w:rFonts w:ascii="Times New Roman;Times;serif" w:hAnsi="Times New Roman;Times;serif"/>
          <w:b/>
          <w:sz w:val="18"/>
        </w:rPr>
        <w:t>CONDENSED CONSOLIDATED STATEMENTS OF STOCKHOLDERS’ EQUITY</w:t>
      </w:r>
    </w:p>
    <w:p>
      <w:pPr>
        <w:pStyle w:val="TextBody"/>
        <w:bidi w:val="0"/>
        <w:spacing w:lineRule="auto" w:line="285" w:before="0" w:after="120"/>
        <w:ind w:left="0" w:right="0" w:hanging="0"/>
        <w:jc w:val="center"/>
        <w:rPr>
          <w:rFonts w:ascii="Times New Roman;Times;serif" w:hAnsi="Times New Roman;Times;serif"/>
          <w:b/>
          <w:sz w:val="18"/>
        </w:rPr>
      </w:pPr>
      <w:r>
        <w:rPr>
          <w:rFonts w:ascii="Times New Roman;Times;serif" w:hAnsi="Times New Roman;Times;serif"/>
          <w:b/>
          <w:sz w:val="18"/>
        </w:rPr>
        <w:t>(unaudited and amounts in thousands, except share data)</w:t>
      </w:r>
    </w:p>
    <w:p>
      <w:pPr>
        <w:pStyle w:val="Normal"/>
        <w:bidi w:val="0"/>
        <w:spacing w:before="0" w:after="0"/>
        <w:jc w:val="left"/>
        <w:rPr>
          <w:sz w:val="4"/>
          <w:szCs w:val="4"/>
        </w:rPr>
      </w:pPr>
      <w:r>
        <w:rPr>
          <w:sz w:val="4"/>
          <w:szCs w:val="4"/>
        </w:rPr>
      </w:r>
      <w:bookmarkStart w:id="373" w:name="Tc_4khmiK_710uoOBAKRwricQ_20_16"/>
      <w:bookmarkStart w:id="374" w:name="Tc_Hz2tKGWxuEmAwedNTGBz2w_20_13"/>
      <w:bookmarkStart w:id="375" w:name="Tc_9-eXUGYirkO5wWmo691N4g_20_10"/>
      <w:bookmarkStart w:id="376" w:name="Tc_jylBuIsLgU28EKdpbtJBRA_20_7"/>
      <w:bookmarkStart w:id="377" w:name="Tc_WibR9Ugv7UKYf1YpIFd1Bg_20_4"/>
      <w:bookmarkStart w:id="378" w:name="Tc_0cC7bohyNki4fCJajBBlpQ_20_0"/>
      <w:bookmarkStart w:id="379" w:name="Tc_c3COd_rVykKOcrTQSZtr7g_19_0"/>
      <w:bookmarkStart w:id="380" w:name="Tc_BM_Dr5PLL0Oggn58pGKevA_18_0"/>
      <w:bookmarkStart w:id="381" w:name="Tc_Jqn_ozoKoU-eD0u3ZZITGA_17_16"/>
      <w:bookmarkStart w:id="382" w:name="Tc_fbGDv5hCHUCgGIbhlVGMEA_17_13"/>
      <w:bookmarkStart w:id="383" w:name="Tc_uN7k1FNuSkGBScB-yySI_A_17_10"/>
      <w:bookmarkStart w:id="384" w:name="Tc_-QCG2fAHf0eY6QZ2jxH7cg_17_7"/>
      <w:bookmarkStart w:id="385" w:name="Tc_bPmIqUrJx025rhOx8w1CbQ_17_4"/>
      <w:bookmarkStart w:id="386" w:name="Tc_uwHUJzqhBkWxyOmAttaAlQ_17_0"/>
      <w:bookmarkStart w:id="387" w:name="Tc_vSyUE1UUckWk_HzTPyQKaQ_16_5"/>
      <w:bookmarkStart w:id="388" w:name="Tc_EIh12WttTUSBd3UWo6lCYA_16_0"/>
      <w:bookmarkStart w:id="389" w:name="Tc_emLEJpJhl0WsFXW-GXifKA_15_17"/>
      <w:bookmarkStart w:id="390" w:name="Tc_JyJyaChPGEeEjALwH_vsnA_15_8"/>
      <w:bookmarkStart w:id="391" w:name="Tc_ZuFMlLdClEegLMEvUkmw9g_15_5"/>
      <w:bookmarkStart w:id="392" w:name="Tc_f6j71FwZTk-oihEDbK4vlQ_15_0"/>
      <w:bookmarkStart w:id="393" w:name="Tc_K9vLfiY0iUC0-sXftpnzIg_14_0"/>
      <w:bookmarkStart w:id="394" w:name="Tc_C1JjCTaEPUixqLA1Q694-w_13_0"/>
      <w:bookmarkStart w:id="395" w:name="Tc_-cC4TAzIVUmXa3kL0KE2MA_12_0"/>
      <w:bookmarkStart w:id="396" w:name="Tc_-PD5ZSTTS06W4Whazw_dYg_11_16"/>
      <w:bookmarkStart w:id="397" w:name="Tc_BGNR_m9pcketModoa5GcnQ_11_13"/>
      <w:bookmarkStart w:id="398" w:name="Tc_Z7TjC4JtE0CpJZTVsBPEmw_11_10"/>
      <w:bookmarkStart w:id="399" w:name="Tc_7MQY7nsDvka9FbfLpRd0jQ_11_7"/>
      <w:bookmarkStart w:id="400" w:name="Tc_S01d0rKyP0mpv8kEE5ePTg_11_4"/>
      <w:bookmarkStart w:id="401" w:name="Tc_6z_Z89neRkO1giKjBPM_hQ_11_0"/>
      <w:bookmarkStart w:id="402" w:name="Tc_z0l0HQhQukuOkRx02M2xKA_10_17"/>
      <w:bookmarkStart w:id="403" w:name="Tc__22PFlnSoEuxqUbozf7VQg_10_14"/>
      <w:bookmarkStart w:id="404" w:name="Tc_l9JFhuI6WUy6uJe_G8D0oA_10_11"/>
      <w:bookmarkStart w:id="405" w:name="Tc_mDmmQ088H06ilgMklvZ-xg_10_8"/>
      <w:bookmarkStart w:id="406" w:name="Tc__VNuxyroV0aNugOZ8qAz8Q_10_5"/>
      <w:bookmarkStart w:id="407" w:name="Tc_EEvPbXuTe0OxK7PsaDAvhQ_10_0"/>
      <w:bookmarkStart w:id="408" w:name="Tc_pYjOZ4K3Pk2Yr5CwtV7OPQ_9_17"/>
      <w:bookmarkStart w:id="409" w:name="Tc_2FZLKDoubEW8w1EYBdGhaw_9_14"/>
      <w:bookmarkStart w:id="410" w:name="Tc_Nfpb9slyIkWPeFXUa5JRZw_9_11"/>
      <w:bookmarkStart w:id="411" w:name="Tc_QaA0C7csYkybQxZJyoyxWA_9_8"/>
      <w:bookmarkStart w:id="412" w:name="Tc_ndO3Z6sj5kCchcF13zQBPQ_9_5"/>
      <w:bookmarkStart w:id="413" w:name="Tc_VteWb8ndp0e_fznD7DSKgg_9_0"/>
      <w:bookmarkStart w:id="414" w:name="Tc_hTaDtfTUrkiuxOhb_5X-Ag_8_14"/>
      <w:bookmarkStart w:id="415" w:name="Tc_Km7uxgFLWEKGyisQd5LZiw_8_11"/>
      <w:bookmarkStart w:id="416" w:name="Tc_nouisrwFi0-XjygeV_UUtw_8_5"/>
      <w:bookmarkStart w:id="417" w:name="Tc_8nyGCwHxREOO13o3X3SbIw_8_0"/>
      <w:bookmarkStart w:id="418" w:name="Tc_LI3IM8xMUkWD_cVaVgbrGA_7_11"/>
      <w:bookmarkStart w:id="419" w:name="Tc_oM8gYcHFH0anlVSPqi8B6A_7_8"/>
      <w:bookmarkStart w:id="420" w:name="Tc_R24DMSkxQUSvHLoRe6rMxw_7_5"/>
      <w:bookmarkStart w:id="421" w:name="Tc_r3FhyHMF9UOji4FTEqSlZQ_7_0"/>
      <w:bookmarkStart w:id="422" w:name="Tc_hZRICUDq2Uu14rER-VdXsQ_6_14"/>
      <w:bookmarkStart w:id="423" w:name="Tc_qUeRtGArwEqR-QQRefvS9Q_6_8"/>
      <w:bookmarkStart w:id="424" w:name="Tc_GnxqkMO3gE6DScDX63y1VA_6_5"/>
      <w:bookmarkStart w:id="425" w:name="Tc_vTS_itD_oEeOjVcYRUKnvw_6_0"/>
      <w:bookmarkStart w:id="426" w:name="Tc_tOxb3K9A_0eBYA4Ya2dOxw_5_16"/>
      <w:bookmarkStart w:id="427" w:name="Tc_1n6w2CbbYkyKIEDLv1nuvA_5_13"/>
      <w:bookmarkStart w:id="428" w:name="Tc_mru_2Rybq06Gh3ifcvsZJg_5_10"/>
      <w:bookmarkStart w:id="429" w:name="Tc_-K3jInnGE0mE0XsQlUkENw_5_7"/>
      <w:bookmarkStart w:id="430" w:name="Tc_xonpFkl1z0ijFKv-He1Qmg_5_4"/>
      <w:bookmarkStart w:id="431" w:name="Tc_EWtXfBjIEUyLichD3m5pYg_5_0"/>
      <w:bookmarkStart w:id="432" w:name="Tc_G-_35wVFbEOZUWJWiOrxow_4_16"/>
      <w:bookmarkStart w:id="433" w:name="Tc_PHcPPvrrLEqoNfPgfXij2Q_4_13"/>
      <w:bookmarkStart w:id="434" w:name="Tc_d4Xv7GbqnU-AfwGIeVsSKg_4_10"/>
      <w:bookmarkStart w:id="435" w:name="Tc_2xqq5BKLPU-dD9H6QJhupw_4_7"/>
      <w:bookmarkStart w:id="436" w:name="Tc_9b-6sgIfvEKhtYSyBmK_Fg_4_4"/>
      <w:bookmarkStart w:id="437" w:name="Tc_KcmCoB20YkKidItRf9obIQ_4_2"/>
      <w:bookmarkStart w:id="438" w:name="Tc_x9QAcQdTDkCFnR64b4L9Gw_3_13"/>
      <w:bookmarkStart w:id="439" w:name="Tc_Ys0-uiqwHEmEcGk_UbxpXw_3_10"/>
      <w:bookmarkStart w:id="440" w:name="Tc_WeIm9AHqx0OM04QD927OYA_3_7"/>
      <w:bookmarkStart w:id="441" w:name="Tc_GCX-kcS29Ey2wkGDgnxKzQ_3_2"/>
      <w:bookmarkStart w:id="442" w:name="Tc_MLg9X1RRekSMLpHMbwsEIQ_2_13"/>
      <w:bookmarkStart w:id="443" w:name="Tc_ZA0AY8ieJ0-EJqx8MrLJfA_2_7"/>
      <w:bookmarkStart w:id="444" w:name="Tc_xLl88ShIZ0C36TCnMMXSnQ_2_2"/>
      <w:bookmarkStart w:id="445" w:name="Tc_OxaxgL6vEkmPBOi91FdENQ_1_13"/>
      <w:bookmarkStart w:id="446" w:name="_58ea8d7b_fdc8_4196_8da8_4bdb30a5bd70"/>
      <w:bookmarkStart w:id="447" w:name="Tc_4khmiK_710uoOBAKRwricQ_20_16"/>
      <w:bookmarkStart w:id="448" w:name="Tc_Hz2tKGWxuEmAwedNTGBz2w_20_13"/>
      <w:bookmarkStart w:id="449" w:name="Tc_9-eXUGYirkO5wWmo691N4g_20_10"/>
      <w:bookmarkStart w:id="450" w:name="Tc_jylBuIsLgU28EKdpbtJBRA_20_7"/>
      <w:bookmarkStart w:id="451" w:name="Tc_WibR9Ugv7UKYf1YpIFd1Bg_20_4"/>
      <w:bookmarkStart w:id="452" w:name="Tc_0cC7bohyNki4fCJajBBlpQ_20_0"/>
      <w:bookmarkStart w:id="453" w:name="Tc_c3COd_rVykKOcrTQSZtr7g_19_0"/>
      <w:bookmarkStart w:id="454" w:name="Tc_BM_Dr5PLL0Oggn58pGKevA_18_0"/>
      <w:bookmarkStart w:id="455" w:name="Tc_Jqn_ozoKoU-eD0u3ZZITGA_17_16"/>
      <w:bookmarkStart w:id="456" w:name="Tc_fbGDv5hCHUCgGIbhlVGMEA_17_13"/>
      <w:bookmarkStart w:id="457" w:name="Tc_uN7k1FNuSkGBScB-yySI_A_17_10"/>
      <w:bookmarkStart w:id="458" w:name="Tc_-QCG2fAHf0eY6QZ2jxH7cg_17_7"/>
      <w:bookmarkStart w:id="459" w:name="Tc_bPmIqUrJx025rhOx8w1CbQ_17_4"/>
      <w:bookmarkStart w:id="460" w:name="Tc_uwHUJzqhBkWxyOmAttaAlQ_17_0"/>
      <w:bookmarkStart w:id="461" w:name="Tc_vSyUE1UUckWk_HzTPyQKaQ_16_5"/>
      <w:bookmarkStart w:id="462" w:name="Tc_EIh12WttTUSBd3UWo6lCYA_16_0"/>
      <w:bookmarkStart w:id="463" w:name="Tc_emLEJpJhl0WsFXW-GXifKA_15_17"/>
      <w:bookmarkStart w:id="464" w:name="Tc_JyJyaChPGEeEjALwH_vsnA_15_8"/>
      <w:bookmarkStart w:id="465" w:name="Tc_ZuFMlLdClEegLMEvUkmw9g_15_5"/>
      <w:bookmarkStart w:id="466" w:name="Tc_f6j71FwZTk-oihEDbK4vlQ_15_0"/>
      <w:bookmarkStart w:id="467" w:name="Tc_K9vLfiY0iUC0-sXftpnzIg_14_0"/>
      <w:bookmarkStart w:id="468" w:name="Tc_C1JjCTaEPUixqLA1Q694-w_13_0"/>
      <w:bookmarkStart w:id="469" w:name="Tc_-cC4TAzIVUmXa3kL0KE2MA_12_0"/>
      <w:bookmarkStart w:id="470" w:name="Tc_-PD5ZSTTS06W4Whazw_dYg_11_16"/>
      <w:bookmarkStart w:id="471" w:name="Tc_BGNR_m9pcketModoa5GcnQ_11_13"/>
      <w:bookmarkStart w:id="472" w:name="Tc_Z7TjC4JtE0CpJZTVsBPEmw_11_10"/>
      <w:bookmarkStart w:id="473" w:name="Tc_7MQY7nsDvka9FbfLpRd0jQ_11_7"/>
      <w:bookmarkStart w:id="474" w:name="Tc_S01d0rKyP0mpv8kEE5ePTg_11_4"/>
      <w:bookmarkStart w:id="475" w:name="Tc_6z_Z89neRkO1giKjBPM_hQ_11_0"/>
      <w:bookmarkStart w:id="476" w:name="Tc_z0l0HQhQukuOkRx02M2xKA_10_17"/>
      <w:bookmarkStart w:id="477" w:name="Tc__22PFlnSoEuxqUbozf7VQg_10_14"/>
      <w:bookmarkStart w:id="478" w:name="Tc_l9JFhuI6WUy6uJe_G8D0oA_10_11"/>
      <w:bookmarkStart w:id="479" w:name="Tc_mDmmQ088H06ilgMklvZ-xg_10_8"/>
      <w:bookmarkStart w:id="480" w:name="Tc__VNuxyroV0aNugOZ8qAz8Q_10_5"/>
      <w:bookmarkStart w:id="481" w:name="Tc_EEvPbXuTe0OxK7PsaDAvhQ_10_0"/>
      <w:bookmarkStart w:id="482" w:name="Tc_pYjOZ4K3Pk2Yr5CwtV7OPQ_9_17"/>
      <w:bookmarkStart w:id="483" w:name="Tc_2FZLKDoubEW8w1EYBdGhaw_9_14"/>
      <w:bookmarkStart w:id="484" w:name="Tc_Nfpb9slyIkWPeFXUa5JRZw_9_11"/>
      <w:bookmarkStart w:id="485" w:name="Tc_QaA0C7csYkybQxZJyoyxWA_9_8"/>
      <w:bookmarkStart w:id="486" w:name="Tc_ndO3Z6sj5kCchcF13zQBPQ_9_5"/>
      <w:bookmarkStart w:id="487" w:name="Tc_VteWb8ndp0e_fznD7DSKgg_9_0"/>
      <w:bookmarkStart w:id="488" w:name="Tc_hTaDtfTUrkiuxOhb_5X-Ag_8_14"/>
      <w:bookmarkStart w:id="489" w:name="Tc_Km7uxgFLWEKGyisQd5LZiw_8_11"/>
      <w:bookmarkStart w:id="490" w:name="Tc_nouisrwFi0-XjygeV_UUtw_8_5"/>
      <w:bookmarkStart w:id="491" w:name="Tc_8nyGCwHxREOO13o3X3SbIw_8_0"/>
      <w:bookmarkStart w:id="492" w:name="Tc_LI3IM8xMUkWD_cVaVgbrGA_7_11"/>
      <w:bookmarkStart w:id="493" w:name="Tc_oM8gYcHFH0anlVSPqi8B6A_7_8"/>
      <w:bookmarkStart w:id="494" w:name="Tc_R24DMSkxQUSvHLoRe6rMxw_7_5"/>
      <w:bookmarkStart w:id="495" w:name="Tc_r3FhyHMF9UOji4FTEqSlZQ_7_0"/>
      <w:bookmarkStart w:id="496" w:name="Tc_hZRICUDq2Uu14rER-VdXsQ_6_14"/>
      <w:bookmarkStart w:id="497" w:name="Tc_qUeRtGArwEqR-QQRefvS9Q_6_8"/>
      <w:bookmarkStart w:id="498" w:name="Tc_GnxqkMO3gE6DScDX63y1VA_6_5"/>
      <w:bookmarkStart w:id="499" w:name="Tc_vTS_itD_oEeOjVcYRUKnvw_6_0"/>
      <w:bookmarkStart w:id="500" w:name="Tc_tOxb3K9A_0eBYA4Ya2dOxw_5_16"/>
      <w:bookmarkStart w:id="501" w:name="Tc_1n6w2CbbYkyKIEDLv1nuvA_5_13"/>
      <w:bookmarkStart w:id="502" w:name="Tc_mru_2Rybq06Gh3ifcvsZJg_5_10"/>
      <w:bookmarkStart w:id="503" w:name="Tc_-K3jInnGE0mE0XsQlUkENw_5_7"/>
      <w:bookmarkStart w:id="504" w:name="Tc_xonpFkl1z0ijFKv-He1Qmg_5_4"/>
      <w:bookmarkStart w:id="505" w:name="Tc_EWtXfBjIEUyLichD3m5pYg_5_0"/>
      <w:bookmarkStart w:id="506" w:name="Tc_G-_35wVFbEOZUWJWiOrxow_4_16"/>
      <w:bookmarkStart w:id="507" w:name="Tc_PHcPPvrrLEqoNfPgfXij2Q_4_13"/>
      <w:bookmarkStart w:id="508" w:name="Tc_d4Xv7GbqnU-AfwGIeVsSKg_4_10"/>
      <w:bookmarkStart w:id="509" w:name="Tc_2xqq5BKLPU-dD9H6QJhupw_4_7"/>
      <w:bookmarkStart w:id="510" w:name="Tc_9b-6sgIfvEKhtYSyBmK_Fg_4_4"/>
      <w:bookmarkStart w:id="511" w:name="Tc_KcmCoB20YkKidItRf9obIQ_4_2"/>
      <w:bookmarkStart w:id="512" w:name="Tc_x9QAcQdTDkCFnR64b4L9Gw_3_13"/>
      <w:bookmarkStart w:id="513" w:name="Tc_Ys0-uiqwHEmEcGk_UbxpXw_3_10"/>
      <w:bookmarkStart w:id="514" w:name="Tc_WeIm9AHqx0OM04QD927OYA_3_7"/>
      <w:bookmarkStart w:id="515" w:name="Tc_GCX-kcS29Ey2wkGDgnxKzQ_3_2"/>
      <w:bookmarkStart w:id="516" w:name="Tc_MLg9X1RRekSMLpHMbwsEIQ_2_13"/>
      <w:bookmarkStart w:id="517" w:name="Tc_ZA0AY8ieJ0-EJqx8MrLJfA_2_7"/>
      <w:bookmarkStart w:id="518" w:name="Tc_xLl88ShIZ0C36TCnMMXSnQ_2_2"/>
      <w:bookmarkStart w:id="519" w:name="Tc_OxaxgL6vEkmPBOi91FdENQ_1_13"/>
      <w:bookmarkStart w:id="520" w:name="_58ea8d7b_fdc8_4196_8da8_4bdb30a5bd70"/>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tbl>
      <w:tblPr>
        <w:tblW w:w="10205" w:type="dxa"/>
        <w:jc w:val="left"/>
        <w:tblInd w:w="0" w:type="dxa"/>
        <w:tblLayout w:type="fixed"/>
        <w:tblCellMar>
          <w:top w:w="0" w:type="dxa"/>
          <w:left w:w="0" w:type="dxa"/>
          <w:bottom w:w="0" w:type="dxa"/>
          <w:right w:w="0" w:type="dxa"/>
        </w:tblCellMar>
      </w:tblPr>
      <w:tblGrid>
        <w:gridCol w:w="2415"/>
        <w:gridCol w:w="109"/>
        <w:gridCol w:w="935"/>
        <w:gridCol w:w="326"/>
        <w:gridCol w:w="257"/>
        <w:gridCol w:w="494"/>
        <w:gridCol w:w="326"/>
        <w:gridCol w:w="205"/>
        <w:gridCol w:w="726"/>
        <w:gridCol w:w="326"/>
        <w:gridCol w:w="233"/>
        <w:gridCol w:w="893"/>
        <w:gridCol w:w="326"/>
        <w:gridCol w:w="332"/>
        <w:gridCol w:w="974"/>
        <w:gridCol w:w="326"/>
        <w:gridCol w:w="196"/>
        <w:gridCol w:w="613"/>
        <w:gridCol w:w="193"/>
      </w:tblGrid>
      <w:tr>
        <w:trPr/>
        <w:tc>
          <w:tcPr>
            <w:tcW w:w="2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33525" cy="175260"/>
                      <wp:effectExtent l="0" t="0" r="0" b="0"/>
                      <wp:wrapNone/>
                      <wp:docPr id="32" name="Frame32"/>
                      <a:graphic xmlns:a="http://schemas.openxmlformats.org/drawingml/2006/main">
                        <a:graphicData uri="http://schemas.microsoft.com/office/word/2010/wordprocessingShape">
                          <wps:wsp>
                            <wps:cNvSpPr txBox="1"/>
                            <wps:spPr>
                              <a:xfrm>
                                <a:off x="0" y="0"/>
                                <a:ext cx="1533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3725" cy="175260"/>
                      <wp:effectExtent l="0" t="0" r="0" b="0"/>
                      <wp:wrapNone/>
                      <wp:docPr id="34" name="Frame34"/>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3195" cy="175260"/>
                      <wp:effectExtent l="0" t="0" r="0" b="0"/>
                      <wp:wrapNone/>
                      <wp:docPr id="36" name="Frame3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13690" cy="175260"/>
                      <wp:effectExtent l="0" t="0" r="0" b="0"/>
                      <wp:wrapNone/>
                      <wp:docPr id="37" name="Frame37"/>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175" cy="175260"/>
                      <wp:effectExtent l="0" t="0" r="0" b="0"/>
                      <wp:wrapNone/>
                      <wp:docPr id="39" name="Frame39"/>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1010" cy="175260"/>
                      <wp:effectExtent l="0" t="0" r="0" b="0"/>
                      <wp:wrapNone/>
                      <wp:docPr id="40" name="Frame40"/>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7955" cy="175260"/>
                      <wp:effectExtent l="0" t="0" r="0" b="0"/>
                      <wp:wrapNone/>
                      <wp:docPr id="42" name="Frame4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7055" cy="175260"/>
                      <wp:effectExtent l="0" t="0" r="0" b="0"/>
                      <wp:wrapNone/>
                      <wp:docPr id="43" name="Frame43"/>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0820" cy="175260"/>
                      <wp:effectExtent l="0" t="0" r="0" b="0"/>
                      <wp:wrapNone/>
                      <wp:docPr id="45" name="Frame4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8490" cy="175260"/>
                      <wp:effectExtent l="0" t="0" r="0" b="0"/>
                      <wp:wrapNone/>
                      <wp:docPr id="46" name="Frame46"/>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9255" cy="175260"/>
                      <wp:effectExtent l="0" t="0" r="0" b="0"/>
                      <wp:wrapNone/>
                      <wp:docPr id="49" name="Frame49"/>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2555" cy="175260"/>
                      <wp:effectExtent l="0" t="0" r="0" b="0"/>
                      <wp:wrapNone/>
                      <wp:docPr id="50" name="Frame50"/>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12"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2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32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2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2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26" w:type="dxa"/>
            <w:tcBorders/>
            <w:vAlign w:val="center"/>
          </w:tcPr>
          <w:p>
            <w:pPr>
              <w:pStyle w:val="TableContents"/>
              <w:bidi w:val="0"/>
              <w:spacing w:lineRule="auto" w:line="285"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26" w:type="dxa"/>
            <w:tcBorders/>
            <w:vAlign w:val="center"/>
          </w:tcPr>
          <w:p>
            <w:pPr>
              <w:pStyle w:val="TableContents"/>
              <w:bidi w:val="0"/>
              <w:spacing w:lineRule="auto" w:line="285"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26" w:type="dxa"/>
            <w:tcBorders/>
            <w:vAlign w:val="center"/>
          </w:tcPr>
          <w:p>
            <w:pPr>
              <w:pStyle w:val="TableContents"/>
              <w:bidi w:val="0"/>
              <w:spacing w:lineRule="auto" w:line="285"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26" w:type="dxa"/>
            <w:tcBorders/>
            <w:vAlign w:val="center"/>
          </w:tcPr>
          <w:p>
            <w:pPr>
              <w:pStyle w:val="TableContents"/>
              <w:bidi w:val="0"/>
              <w:spacing w:lineRule="auto" w:line="285" w:before="0" w:after="0"/>
              <w:ind w:left="0" w:right="0" w:hanging="0"/>
              <w:jc w:val="left"/>
              <w:rPr/>
            </w:pPr>
            <w:r>
              <w:rPr/>
              <w:t>    </w:t>
            </w:r>
          </w:p>
        </w:tc>
        <w:tc>
          <w:tcPr>
            <w:tcW w:w="80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3" w:type="dxa"/>
            <w:tcBorders/>
            <w:vAlign w:val="center"/>
          </w:tcPr>
          <w:p>
            <w:pPr>
              <w:pStyle w:val="TableContents"/>
              <w:bidi w:val="0"/>
              <w:spacing w:lineRule="auto" w:line="285" w:before="0" w:after="0"/>
              <w:ind w:left="0" w:right="0" w:hanging="0"/>
              <w:jc w:val="left"/>
              <w:rPr/>
            </w:pPr>
            <w:r>
              <w:rPr/>
              <w:t> </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30,983,437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157,073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(137,619)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17,281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compensation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1,050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3"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Shares exchanged for taxes on 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1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March 31,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30,984,162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(136,627)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(2,513)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18,287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(2,349)</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income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compensation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91,100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3"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Shares exchanged for taxes on 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(27,461)</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1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31,047,801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157,115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(138,976)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16,413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(1,153)</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(1,153)</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6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September 30, 2025</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31,047,801 </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157,115</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(140,129)</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(2,107)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15,189</w:t>
            </w:r>
          </w:p>
        </w:tc>
        <w:tc>
          <w:tcPr>
            <w:tcW w:w="193"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521" w:name="Tc_r4Ydsyv3FEq793mo6xOtdA_18_16"/>
      <w:bookmarkStart w:id="522" w:name="Tc_oG1VjOndQ0WwRr5d_PrlPA_18_13"/>
      <w:bookmarkStart w:id="523" w:name="Tc_x4nXUI0BfkaZmR5AukM38A_18_10"/>
      <w:bookmarkStart w:id="524" w:name="Tc_Hpz68B5arkmm40QVE8hgnQ_18_7"/>
      <w:bookmarkStart w:id="525" w:name="Tc_9sktUHIqL0G3nNm9qcFw_g_18_4"/>
      <w:bookmarkStart w:id="526" w:name="Tc_rdExV5rb_0GcrJz2ECXL9Q_18_0"/>
      <w:bookmarkStart w:id="527" w:name="Tc_57ZJEm1zokaZcNZwDjOuAA_17_0"/>
      <w:bookmarkStart w:id="528" w:name="Tc_QAn0WABMAk-vWawA8JoJKQ_16_0"/>
      <w:bookmarkStart w:id="529" w:name="Tc_ZrzLWBA7nkq613IYwnI4rQ_15_0"/>
      <w:bookmarkStart w:id="530" w:name="Tc_rAk3fp3Z2Uqkm3hu-EFvsQ_14_16"/>
      <w:bookmarkStart w:id="531" w:name="Tc_NT_61tXd_0WB1xBWI8nwcA_14_13"/>
      <w:bookmarkStart w:id="532" w:name="Tc__fKiQBARU0eNzf6BQ7HTag_14_10"/>
      <w:bookmarkStart w:id="533" w:name="Tc_O9nP_OSyEkqJqZysfbDocQ_14_7"/>
      <w:bookmarkStart w:id="534" w:name="Tc_uNE8WTAVg0egPxIfmlplIg_14_4"/>
      <w:bookmarkStart w:id="535" w:name="Tc_YXz_oxdwgkusj33DWXTJpg_14_0"/>
      <w:bookmarkStart w:id="536" w:name="Tc_NQ2bEBEHNk-KrZHRQtoY8w_13_5"/>
      <w:bookmarkStart w:id="537" w:name="Tc_9v9maZBwVUiX7rRFqTLK0g_13_0"/>
      <w:bookmarkStart w:id="538" w:name="Tc_hhzEXcr_EE-55cnRe5jm6A_12_0"/>
      <w:bookmarkStart w:id="539" w:name="Tc_FF4WNxhfMEyiAiCuWpXXlA_11_0"/>
      <w:bookmarkStart w:id="540" w:name="Tc_30INhP4fTUqER1z-j9FwPw_10_0"/>
      <w:bookmarkStart w:id="541" w:name="Tc_eyjuwGU_CkKucJUn50UuHA_9_16"/>
      <w:bookmarkStart w:id="542" w:name="Tc_gnYpoCp7YUK1yE3tpZVSkQ_9_13"/>
      <w:bookmarkStart w:id="543" w:name="Tc_FgS45vC1_UmouJAaeWZ9UQ_9_10"/>
      <w:bookmarkStart w:id="544" w:name="Tc_2-LpVHdbrk2glBK8xAIK7w_9_7"/>
      <w:bookmarkStart w:id="545" w:name="Tc_kAzgp-x8E0ufDZnifVtp_g_9_4"/>
      <w:bookmarkStart w:id="546" w:name="Tc_DWdZJXKgA0SdZOmMxiOI0g_9_0"/>
      <w:bookmarkStart w:id="547" w:name="Tc_zFeQEduFqEGalQ-d51KwAw_8_14"/>
      <w:bookmarkStart w:id="548" w:name="Tc_SoYu97JNQkGiuKjAUBLKUA_8_8"/>
      <w:bookmarkStart w:id="549" w:name="Tc_CXwA41XzgES5XxVs1TEuRg_8_5"/>
      <w:bookmarkStart w:id="550" w:name="Tc_avw-CH4CIUCVkEUTeSVV0Q_8_0"/>
      <w:bookmarkStart w:id="551" w:name="Tc_bh-jbNy5qUa0FpQs4NScuw_7_11"/>
      <w:bookmarkStart w:id="552" w:name="Tc_mWobhs2lPEqajaSm0mV4SA_7_8"/>
      <w:bookmarkStart w:id="553" w:name="Tc_rNp-xchl9EyiFeKmCSOabA_7_5"/>
      <w:bookmarkStart w:id="554" w:name="Tc_1IsxeJLgNkSgpVhTc0smNw_7_0"/>
      <w:bookmarkStart w:id="555" w:name="Tc_q64tw3XWGEaIcjpjFCFZbw_6_14"/>
      <w:bookmarkStart w:id="556" w:name="Tc_eTVM8yaPvE-DSG3ahJdLeg_6_8"/>
      <w:bookmarkStart w:id="557" w:name="Tc_b9-n_wJtuUKMhgRdNRxEHg_6_5"/>
      <w:bookmarkStart w:id="558" w:name="Tc_AL1VR8Tj5ESgyEQVm_IESg_6_0"/>
      <w:bookmarkStart w:id="559" w:name="Tc_cSZWxMTnG06QnDFbb-PsgQ_5_16"/>
      <w:bookmarkStart w:id="560" w:name="Tc_dlomW9k0kkK3c2QJTnnaWQ_5_13"/>
      <w:bookmarkStart w:id="561" w:name="Tc_G6yxjhdy6U6hQpTn8ezKEQ_5_10"/>
      <w:bookmarkStart w:id="562" w:name="Tc_wi7La3iqxEC5wy6m5wojOA_5_7"/>
      <w:bookmarkStart w:id="563" w:name="Tc_8tqtl6Hcj0Wah4PoIUSimA_5_4"/>
      <w:bookmarkStart w:id="564" w:name="Tc_0upAdFM2s0Gx0n_cLK613g_5_0"/>
      <w:bookmarkStart w:id="565" w:name="Tc_3uQE0wPrJkGIZwG5b6k-cw_4_16"/>
      <w:bookmarkStart w:id="566" w:name="Tc_gZ5P-NmtHUq1kEVAuIJ7CA_4_13"/>
      <w:bookmarkStart w:id="567" w:name="Tc_7Bgsm6eIf0u8GjcU5KNcsA_4_10"/>
      <w:bookmarkStart w:id="568" w:name="Tc_bn5u8_KQT0qGF7gE0FnuDg_4_7"/>
      <w:bookmarkStart w:id="569" w:name="Tc_J2S1PBz1rkeO_fJjLDVcPQ_4_4"/>
      <w:bookmarkStart w:id="570" w:name="Tc_-AABaWW93EevVgxgdc_3Hw_4_2"/>
      <w:bookmarkStart w:id="571" w:name="Tc_8OcprG6Tx0GoNxPI8FXITQ_3_13"/>
      <w:bookmarkStart w:id="572" w:name="Tc_serS0k8_K0iiQkpceUEjqQ_3_10"/>
      <w:bookmarkStart w:id="573" w:name="Tc_Fh9frA5c9US1dPe8K50vow_3_7"/>
      <w:bookmarkStart w:id="574" w:name="Tc_hLkcc9NRO06h5VUw8nza6A_3_2"/>
      <w:bookmarkStart w:id="575" w:name="Tc_fyiAgeKwcUGT-ryj72g-mQ_2_13"/>
      <w:bookmarkStart w:id="576" w:name="Tc_pRewKircgk-9bH-iR9CiKQ_2_7"/>
      <w:bookmarkStart w:id="577" w:name="Tc_lr_QhDMZkkG-XZLekVAaTA_2_2"/>
      <w:bookmarkStart w:id="578" w:name="Tc_MgROGNcVAEm5SGM32MEiSA_1_13"/>
      <w:bookmarkStart w:id="579" w:name="_32d0e4e3_e154_487c_9c11_56d1225dd966"/>
      <w:bookmarkStart w:id="580" w:name="Tc_r4Ydsyv3FEq793mo6xOtdA_18_16"/>
      <w:bookmarkStart w:id="581" w:name="Tc_oG1VjOndQ0WwRr5d_PrlPA_18_13"/>
      <w:bookmarkStart w:id="582" w:name="Tc_x4nXUI0BfkaZmR5AukM38A_18_10"/>
      <w:bookmarkStart w:id="583" w:name="Tc_Hpz68B5arkmm40QVE8hgnQ_18_7"/>
      <w:bookmarkStart w:id="584" w:name="Tc_9sktUHIqL0G3nNm9qcFw_g_18_4"/>
      <w:bookmarkStart w:id="585" w:name="Tc_rdExV5rb_0GcrJz2ECXL9Q_18_0"/>
      <w:bookmarkStart w:id="586" w:name="Tc_57ZJEm1zokaZcNZwDjOuAA_17_0"/>
      <w:bookmarkStart w:id="587" w:name="Tc_QAn0WABMAk-vWawA8JoJKQ_16_0"/>
      <w:bookmarkStart w:id="588" w:name="Tc_ZrzLWBA7nkq613IYwnI4rQ_15_0"/>
      <w:bookmarkStart w:id="589" w:name="Tc_rAk3fp3Z2Uqkm3hu-EFvsQ_14_16"/>
      <w:bookmarkStart w:id="590" w:name="Tc_NT_61tXd_0WB1xBWI8nwcA_14_13"/>
      <w:bookmarkStart w:id="591" w:name="Tc__fKiQBARU0eNzf6BQ7HTag_14_10"/>
      <w:bookmarkStart w:id="592" w:name="Tc_O9nP_OSyEkqJqZysfbDocQ_14_7"/>
      <w:bookmarkStart w:id="593" w:name="Tc_uNE8WTAVg0egPxIfmlplIg_14_4"/>
      <w:bookmarkStart w:id="594" w:name="Tc_YXz_oxdwgkusj33DWXTJpg_14_0"/>
      <w:bookmarkStart w:id="595" w:name="Tc_NQ2bEBEHNk-KrZHRQtoY8w_13_5"/>
      <w:bookmarkStart w:id="596" w:name="Tc_9v9maZBwVUiX7rRFqTLK0g_13_0"/>
      <w:bookmarkStart w:id="597" w:name="Tc_hhzEXcr_EE-55cnRe5jm6A_12_0"/>
      <w:bookmarkStart w:id="598" w:name="Tc_FF4WNxhfMEyiAiCuWpXXlA_11_0"/>
      <w:bookmarkStart w:id="599" w:name="Tc_30INhP4fTUqER1z-j9FwPw_10_0"/>
      <w:bookmarkStart w:id="600" w:name="Tc_eyjuwGU_CkKucJUn50UuHA_9_16"/>
      <w:bookmarkStart w:id="601" w:name="Tc_gnYpoCp7YUK1yE3tpZVSkQ_9_13"/>
      <w:bookmarkStart w:id="602" w:name="Tc_FgS45vC1_UmouJAaeWZ9UQ_9_10"/>
      <w:bookmarkStart w:id="603" w:name="Tc_2-LpVHdbrk2glBK8xAIK7w_9_7"/>
      <w:bookmarkStart w:id="604" w:name="Tc_kAzgp-x8E0ufDZnifVtp_g_9_4"/>
      <w:bookmarkStart w:id="605" w:name="Tc_DWdZJXKgA0SdZOmMxiOI0g_9_0"/>
      <w:bookmarkStart w:id="606" w:name="Tc_zFeQEduFqEGalQ-d51KwAw_8_14"/>
      <w:bookmarkStart w:id="607" w:name="Tc_SoYu97JNQkGiuKjAUBLKUA_8_8"/>
      <w:bookmarkStart w:id="608" w:name="Tc_CXwA41XzgES5XxVs1TEuRg_8_5"/>
      <w:bookmarkStart w:id="609" w:name="Tc_avw-CH4CIUCVkEUTeSVV0Q_8_0"/>
      <w:bookmarkStart w:id="610" w:name="Tc_bh-jbNy5qUa0FpQs4NScuw_7_11"/>
      <w:bookmarkStart w:id="611" w:name="Tc_mWobhs2lPEqajaSm0mV4SA_7_8"/>
      <w:bookmarkStart w:id="612" w:name="Tc_rNp-xchl9EyiFeKmCSOabA_7_5"/>
      <w:bookmarkStart w:id="613" w:name="Tc_1IsxeJLgNkSgpVhTc0smNw_7_0"/>
      <w:bookmarkStart w:id="614" w:name="Tc_q64tw3XWGEaIcjpjFCFZbw_6_14"/>
      <w:bookmarkStart w:id="615" w:name="Tc_eTVM8yaPvE-DSG3ahJdLeg_6_8"/>
      <w:bookmarkStart w:id="616" w:name="Tc_b9-n_wJtuUKMhgRdNRxEHg_6_5"/>
      <w:bookmarkStart w:id="617" w:name="Tc_AL1VR8Tj5ESgyEQVm_IESg_6_0"/>
      <w:bookmarkStart w:id="618" w:name="Tc_cSZWxMTnG06QnDFbb-PsgQ_5_16"/>
      <w:bookmarkStart w:id="619" w:name="Tc_dlomW9k0kkK3c2QJTnnaWQ_5_13"/>
      <w:bookmarkStart w:id="620" w:name="Tc_G6yxjhdy6U6hQpTn8ezKEQ_5_10"/>
      <w:bookmarkStart w:id="621" w:name="Tc_wi7La3iqxEC5wy6m5wojOA_5_7"/>
      <w:bookmarkStart w:id="622" w:name="Tc_8tqtl6Hcj0Wah4PoIUSimA_5_4"/>
      <w:bookmarkStart w:id="623" w:name="Tc_0upAdFM2s0Gx0n_cLK613g_5_0"/>
      <w:bookmarkStart w:id="624" w:name="Tc_3uQE0wPrJkGIZwG5b6k-cw_4_16"/>
      <w:bookmarkStart w:id="625" w:name="Tc_gZ5P-NmtHUq1kEVAuIJ7CA_4_13"/>
      <w:bookmarkStart w:id="626" w:name="Tc_7Bgsm6eIf0u8GjcU5KNcsA_4_10"/>
      <w:bookmarkStart w:id="627" w:name="Tc_bn5u8_KQT0qGF7gE0FnuDg_4_7"/>
      <w:bookmarkStart w:id="628" w:name="Tc_J2S1PBz1rkeO_fJjLDVcPQ_4_4"/>
      <w:bookmarkStart w:id="629" w:name="Tc_-AABaWW93EevVgxgdc_3Hw_4_2"/>
      <w:bookmarkStart w:id="630" w:name="Tc_8OcprG6Tx0GoNxPI8FXITQ_3_13"/>
      <w:bookmarkStart w:id="631" w:name="Tc_serS0k8_K0iiQkpceUEjqQ_3_10"/>
      <w:bookmarkStart w:id="632" w:name="Tc_Fh9frA5c9US1dPe8K50vow_3_7"/>
      <w:bookmarkStart w:id="633" w:name="Tc_hLkcc9NRO06h5VUw8nza6A_3_2"/>
      <w:bookmarkStart w:id="634" w:name="Tc_fyiAgeKwcUGT-ryj72g-mQ_2_13"/>
      <w:bookmarkStart w:id="635" w:name="Tc_pRewKircgk-9bH-iR9CiKQ_2_7"/>
      <w:bookmarkStart w:id="636" w:name="Tc_lr_QhDMZkkG-XZLekVAaTA_2_2"/>
      <w:bookmarkStart w:id="637" w:name="Tc_MgROGNcVAEm5SGM32MEiSA_1_13"/>
      <w:bookmarkStart w:id="638" w:name="_32d0e4e3_e154_487c_9c11_56d1225dd966"/>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tbl>
      <w:tblPr>
        <w:tblW w:w="10205" w:type="dxa"/>
        <w:jc w:val="left"/>
        <w:tblInd w:w="0" w:type="dxa"/>
        <w:tblLayout w:type="fixed"/>
        <w:tblCellMar>
          <w:top w:w="0" w:type="dxa"/>
          <w:left w:w="0" w:type="dxa"/>
          <w:bottom w:w="0" w:type="dxa"/>
          <w:right w:w="0" w:type="dxa"/>
        </w:tblCellMar>
      </w:tblPr>
      <w:tblGrid>
        <w:gridCol w:w="2415"/>
        <w:gridCol w:w="109"/>
        <w:gridCol w:w="935"/>
        <w:gridCol w:w="326"/>
        <w:gridCol w:w="257"/>
        <w:gridCol w:w="494"/>
        <w:gridCol w:w="326"/>
        <w:gridCol w:w="205"/>
        <w:gridCol w:w="726"/>
        <w:gridCol w:w="326"/>
        <w:gridCol w:w="233"/>
        <w:gridCol w:w="893"/>
        <w:gridCol w:w="326"/>
        <w:gridCol w:w="332"/>
        <w:gridCol w:w="974"/>
        <w:gridCol w:w="326"/>
        <w:gridCol w:w="196"/>
        <w:gridCol w:w="613"/>
        <w:gridCol w:w="193"/>
      </w:tblGrid>
      <w:tr>
        <w:trPr/>
        <w:tc>
          <w:tcPr>
            <w:tcW w:w="2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33525" cy="175260"/>
                      <wp:effectExtent l="0" t="0" r="0" b="0"/>
                      <wp:wrapNone/>
                      <wp:docPr id="51" name="Frame51"/>
                      <a:graphic xmlns:a="http://schemas.openxmlformats.org/drawingml/2006/main">
                        <a:graphicData uri="http://schemas.microsoft.com/office/word/2010/wordprocessingShape">
                          <wps:wsp>
                            <wps:cNvSpPr txBox="1"/>
                            <wps:spPr>
                              <a:xfrm>
                                <a:off x="0" y="0"/>
                                <a:ext cx="1533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3725" cy="175260"/>
                      <wp:effectExtent l="0" t="0" r="0" b="0"/>
                      <wp:wrapNone/>
                      <wp:docPr id="53" name="Frame53"/>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3195" cy="175260"/>
                      <wp:effectExtent l="0" t="0" r="0" b="0"/>
                      <wp:wrapNone/>
                      <wp:docPr id="55" name="Frame5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13690" cy="175260"/>
                      <wp:effectExtent l="0" t="0" r="0" b="0"/>
                      <wp:wrapNone/>
                      <wp:docPr id="56" name="Frame56"/>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175" cy="175260"/>
                      <wp:effectExtent l="0" t="0" r="0" b="0"/>
                      <wp:wrapNone/>
                      <wp:docPr id="58" name="Frame5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61010" cy="175260"/>
                      <wp:effectExtent l="0" t="0" r="0" b="0"/>
                      <wp:wrapNone/>
                      <wp:docPr id="59" name="Frame5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7955" cy="175260"/>
                      <wp:effectExtent l="0" t="0" r="0" b="0"/>
                      <wp:wrapNone/>
                      <wp:docPr id="61" name="Frame6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7055" cy="175260"/>
                      <wp:effectExtent l="0" t="0" r="0" b="0"/>
                      <wp:wrapNone/>
                      <wp:docPr id="62" name="Frame6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0820" cy="175260"/>
                      <wp:effectExtent l="0" t="0" r="0" b="0"/>
                      <wp:wrapNone/>
                      <wp:docPr id="64" name="Frame6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18490" cy="175260"/>
                      <wp:effectExtent l="0" t="0" r="0" b="0"/>
                      <wp:wrapNone/>
                      <wp:docPr id="65" name="Frame6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9255" cy="175260"/>
                      <wp:effectExtent l="0" t="0" r="0" b="0"/>
                      <wp:wrapNone/>
                      <wp:docPr id="68" name="Frame68"/>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2555" cy="175260"/>
                      <wp:effectExtent l="0" t="0" r="0" b="0"/>
                      <wp:wrapNone/>
                      <wp:docPr id="69" name="Frame6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12"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2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2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32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2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26" w:type="dxa"/>
            <w:tcBorders/>
            <w:vAlign w:val="center"/>
          </w:tcPr>
          <w:p>
            <w:pPr>
              <w:pStyle w:val="TableContents"/>
              <w:bidi w:val="0"/>
              <w:spacing w:lineRule="auto" w:line="285" w:before="0" w:after="0"/>
              <w:ind w:left="0" w:right="0" w:hanging="0"/>
              <w:jc w:val="left"/>
              <w:rPr/>
            </w:pPr>
            <w:r>
              <w:rPr/>
              <w:t>​</w:t>
            </w:r>
          </w:p>
        </w:tc>
        <w:tc>
          <w:tcPr>
            <w:tcW w:w="13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326" w:type="dxa"/>
            <w:tcBorders/>
            <w:vAlign w:val="center"/>
          </w:tcPr>
          <w:p>
            <w:pPr>
              <w:pStyle w:val="TableContents"/>
              <w:bidi w:val="0"/>
              <w:spacing w:lineRule="auto" w:line="285"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26" w:type="dxa"/>
            <w:tcBorders/>
            <w:vAlign w:val="center"/>
          </w:tcPr>
          <w:p>
            <w:pPr>
              <w:pStyle w:val="TableContents"/>
              <w:bidi w:val="0"/>
              <w:spacing w:lineRule="auto" w:line="285"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26" w:type="dxa"/>
            <w:tcBorders/>
            <w:vAlign w:val="center"/>
          </w:tcPr>
          <w:p>
            <w:pPr>
              <w:pStyle w:val="TableContents"/>
              <w:bidi w:val="0"/>
              <w:spacing w:lineRule="auto" w:line="285"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326" w:type="dxa"/>
            <w:tcBorders/>
            <w:vAlign w:val="center"/>
          </w:tcPr>
          <w:p>
            <w:pPr>
              <w:pStyle w:val="TableContents"/>
              <w:bidi w:val="0"/>
              <w:spacing w:lineRule="auto" w:line="285" w:before="0" w:after="0"/>
              <w:ind w:left="0" w:right="0" w:hanging="0"/>
              <w:jc w:val="left"/>
              <w:rPr/>
            </w:pPr>
            <w:r>
              <w:rPr/>
              <w:t>    </w:t>
            </w:r>
          </w:p>
        </w:tc>
        <w:tc>
          <w:tcPr>
            <w:tcW w:w="80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3" w:type="dxa"/>
            <w:tcBorders/>
            <w:vAlign w:val="center"/>
          </w:tcPr>
          <w:p>
            <w:pPr>
              <w:pStyle w:val="TableContents"/>
              <w:bidi w:val="0"/>
              <w:spacing w:lineRule="auto" w:line="285" w:before="0" w:after="0"/>
              <w:ind w:left="0" w:right="0" w:hanging="0"/>
              <w:jc w:val="left"/>
              <w:rPr/>
            </w:pPr>
            <w:r>
              <w:rPr/>
              <w:t> </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Balance January 1, 2024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30,812,329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156,678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(123,640)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31,434</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5,846</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5,846</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Dividends</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(9,860)</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1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(9,860)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March 31, 2024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30,812,329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156,678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(127,654)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(2,072)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27,260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(3,546)</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(3,546)</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loss on foreign exchange rate translation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133,850 </w:t>
            </w:r>
          </w:p>
        </w:tc>
        <w:tc>
          <w:tcPr>
            <w:tcW w:w="326" w:type="dxa"/>
            <w:tcBorders/>
            <w:vAlign w:val="center"/>
          </w:tcPr>
          <w:p>
            <w:pPr>
              <w:pStyle w:val="TableContents"/>
              <w:bidi w:val="0"/>
              <w:spacing w:lineRule="auto" w:line="285" w:before="0" w:after="0"/>
              <w:ind w:left="0" w:right="0" w:hanging="0"/>
              <w:jc w:val="righ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259</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Shares exchanged for taxes on stock-based compensation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(39,402)</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6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2024</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30,906,777 </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156,860</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(131,200)</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23,787</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center"/>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center"/>
              <w:rPr/>
            </w:pPr>
            <w:r>
              <w:rPr/>
              <w:t>​</w:t>
            </w:r>
          </w:p>
        </w:tc>
        <w:tc>
          <w:tcPr>
            <w:tcW w:w="72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center"/>
              <w:rPr/>
            </w:pPr>
            <w:r>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center"/>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(5,617)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income on foreign exchange rate translation</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center"/>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center"/>
              <w:rPr/>
            </w:pPr>
            <w:r>
              <w:rPr/>
              <w:t>​</w:t>
            </w:r>
          </w:p>
        </w:tc>
        <w:tc>
          <w:tcPr>
            <w:tcW w:w="72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center"/>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2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4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6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2415"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Balance September 30, 2024</w:t>
            </w:r>
          </w:p>
        </w:tc>
        <w:tc>
          <w:tcPr>
            <w:tcW w:w="109" w:type="dxa"/>
            <w:tcBorders/>
            <w:vAlign w:val="center"/>
          </w:tcPr>
          <w:p>
            <w:pPr>
              <w:pStyle w:val="TableContents"/>
              <w:bidi w:val="0"/>
              <w:spacing w:lineRule="auto" w:line="285" w:before="0" w:after="0"/>
              <w:ind w:left="0" w:right="0" w:hanging="0"/>
              <w:jc w:val="left"/>
              <w:rPr/>
            </w:pPr>
            <w:r>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 xml:space="preserve">30,906,777 </w:t>
            </w:r>
          </w:p>
        </w:tc>
        <w:tc>
          <w:tcPr>
            <w:tcW w:w="326" w:type="dxa"/>
            <w:tcBorders/>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w:t>
            </w:r>
          </w:p>
        </w:tc>
        <w:tc>
          <w:tcPr>
            <w:tcW w:w="326" w:type="dxa"/>
            <w:tcBorders/>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156,905</w:t>
            </w:r>
          </w:p>
        </w:tc>
        <w:tc>
          <w:tcPr>
            <w:tcW w:w="326" w:type="dxa"/>
            <w:tcBorders/>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(136,817)</w:t>
            </w:r>
          </w:p>
        </w:tc>
        <w:tc>
          <w:tcPr>
            <w:tcW w:w="326" w:type="dxa"/>
            <w:tcBorders/>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(2,153)</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18,244</w:t>
            </w:r>
          </w:p>
        </w:tc>
        <w:tc>
          <w:tcPr>
            <w:tcW w:w="193"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120" w:after="240"/>
        <w:ind w:left="0" w:right="0" w:hanging="0"/>
        <w:jc w:val="center"/>
        <w:rPr>
          <w:rFonts w:ascii="Times New Roman;Times;serif" w:hAnsi="Times New Roman;Times;serif"/>
          <w:i/>
          <w:sz w:val="18"/>
        </w:rPr>
      </w:pPr>
      <w:r>
        <w:rPr>
          <w:rFonts w:ascii="Times New Roman;Times;serif" w:hAnsi="Times New Roman;Times;serif"/>
          <w:i/>
          <w:sz w:val="18"/>
        </w:rPr>
        <w:t>See accompanying notes to the condensed consolidated financial statements (unaudited).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120"/>
        <w:ind w:left="0" w:right="0" w:hanging="0"/>
        <w:jc w:val="center"/>
        <w:rPr>
          <w:rFonts w:ascii="Times New Roman;Times;serif" w:hAnsi="Times New Roman;Times;serif"/>
          <w:b/>
          <w:sz w:val="20"/>
        </w:rPr>
      </w:pPr>
      <w:bookmarkStart w:id="639" w:name="_f95a8707_7844_475c_bdc8_fb9091fac5dd"/>
      <w:bookmarkEnd w:id="639"/>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bookmarkStart w:id="640" w:name="NOTESTOCONDENSEDCONSOLIDATEDFINANCIALSTA"/>
      <w:bookmarkEnd w:id="640"/>
      <w:r>
        <w:rPr>
          <w:rFonts w:ascii="Times New Roman;Times;serif" w:hAnsi="Times New Roman;Times;serif"/>
          <w:b/>
          <w:sz w:val="20"/>
        </w:rPr>
        <w:t>NOTES TO CONDENSED CONSOLIDATED FINANCIAL STATEMENTS (UNAUDITED)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ORGANIZATION AND NATURE OF OPERATIONS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Dawson Geophysical Company, and its consolidated subsidiaries (the “Company”) is a leading provider of North American onshore seismic data acquisition services with operations throughout the continental United States (“U.S.”) and Canada. The Company acquires and processes 2-D, 3-D and multicomponent seismic data solely for its clients, ranging from major oil and gas companies to independent oil and gas operators as well as providers of multi-client data libraries.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2. SUMMARY OF SIGNIFICANT ACCOUNTING POLICIES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Basis of Presentation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 the opinion of the Company’s management, the condensed consolidated financial statements reflect all adjustments, which are normal and recurring in nature, necessary for fair financial statement presentation. The preparation of these condensed consolidated financial statements in conformity with U.S. generally accepted accounting principles (“GAAP”) requires management to make estimates and assumptions that affect the amounts reported in these condensed consolidated financial statements and accompanying notes. Actual results could differ materially from those estimates. Certain prior period amounts in the condensed consolidated financial statements may have been reclassified to conform to the current period’s presentation.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using accounting principles generally accepted in the U.S. for interim financial information and the instructions to Form 10-Q and applicable rules of Regulation S-X of the Securities and Exchange Commission (the “SEC”). Certain information and footnote disclosures normally included in annual financial statements presented in accordance with accounting principles generally accepted in the U.S. have been omitted.</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These condensed consolidated financial statements and accompanying notes should be read in conjunction with the Company’s annual consolidated financial statements and the notes thereto included in the Company’s Annual Report on Form 10-K for the year ended December 31, 2024. The December 31, 2024, balance sheet information was derived from our audited financial statements included in the Company's Annual Report on Form 10-K for the year ended December 31, 2024.</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Significant Accounting Policies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Principles of Consolidation. </w:t>
      </w:r>
      <w:r>
        <w:rPr>
          <w:rFonts w:ascii="Times New Roman;Times;serif" w:hAnsi="Times New Roman;Times;serif"/>
          <w:sz w:val="20"/>
        </w:rPr>
        <w:t xml:space="preserve">The condensed consolidated financial statements as of September 30, 2025, and for the three and nine months ended September 30, 2025, and 2024, include the accounts of the Company and its wholly-owned subsidiaries, Dawson Operating LLC, Dawson Seismic Services Holdings, Inc., Eagle Canada, Inc., Eagle Canada Seismic Services ULC, and Exploration Surveys, Inc. All significant intercompany balances and transactions have been eliminated in consolidation.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The Company records dividends declared as an addition to accumulated deficit when declaration of such dividends is not subject to restrictions in the jurisdictions in which the Company operates, or in conflict with information in the Company’s bylaws.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Allowance</w:t>
      </w:r>
      <w:r>
        <w:rPr>
          <w:rFonts w:ascii="Times New Roman;Times;serif" w:hAnsi="Times New Roman;Times;serif"/>
          <w:sz w:val="20"/>
        </w:rPr>
        <w:t xml:space="preserve"> </w:t>
      </w:r>
      <w:r>
        <w:rPr>
          <w:rFonts w:ascii="Times New Roman;Times;serif" w:hAnsi="Times New Roman;Times;serif"/>
          <w:i/>
          <w:sz w:val="20"/>
        </w:rPr>
        <w:t xml:space="preserve">for Current Expected Credit Losses. </w:t>
      </w:r>
      <w:r>
        <w:rPr>
          <w:rFonts w:ascii="Times New Roman;Times;serif" w:hAnsi="Times New Roman;Times;serif"/>
          <w:sz w:val="20"/>
        </w:rPr>
        <w:t>The Company’s allowance for credit losses reflects its current estimate expected to be incurred over the life of the financial instrument and is determined based on a number of factors. Management determines the need for any allowance for credit losses on accounts receivable based on its review of past-due accounts, its past experience of historical write-offs, its current client base, when customer accounts exceed 90 days past due and specific customer account reviews. While the collectability of outstanding client invoices is continually assessed, the inherent volatility of the energy industry’s business cycle can cause swift and unpredictable changes in the financial stability of the Company’s clients. With the adoption of ASU No. 2016-13 in 2020, the Company made an accounting policy election to write off accrued interest amounts by reversing interest income. For the nine months ended September 30, 2025, the Company incurred $177,000 of credit losses. For the three months ended September 30, 2025 the Company incurred no credit losses. The Company's allowance for credit losses was $250,000 at September 30, 2025 and December 31, 2024.</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i/>
          <w:sz w:val="20"/>
        </w:rPr>
        <w:t>Leases</w:t>
      </w:r>
      <w:r>
        <w:rPr>
          <w:rFonts w:ascii="Times New Roman;Times;serif" w:hAnsi="Times New Roman;Times;serif"/>
          <w:sz w:val="20"/>
        </w:rPr>
        <w:t xml:space="preserve">. The Company leases certain vehicles, seismic recording equipment, real property and office equipment under lease agreements. The Company evaluates each lease to determine its appropriate classification as a finance lease or an operating lease for financial reporting purposes. The assets and liabilities under finance leases are recorded at the lower of the present value of the minimum lease payments or the fair market value of the related assets. Assets under finance leases are amortized using the straight-line method over the initial lease term. Amortization of assets under finance leases is included in depreciation expense. For operating leases, where readily determinable, the Company uses the implicit interest rate in determining the present value of future minimum lease payments. In the absence of an implicit rate, the Company uses its incremental borrowing rate. The right-of-use assets are amortized to operating lease cost over the lease terms in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 manner that results in straight-line operating lease cost and is included in operating expense. Several of the Company’s leases include options to renew and the exercise of lease renewal options is primarily at the Company’s discretion.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Property and Equipment. </w:t>
      </w:r>
      <w:r>
        <w:rPr>
          <w:rFonts w:ascii="Times New Roman;Times;serif" w:hAnsi="Times New Roman;Times;serif"/>
          <w:sz w:val="20"/>
        </w:rPr>
        <w:t>Property and equipment is capitalized at historical cost or the fair value of assets acquired in a business combination and is depreciated over the useful life of the asset. Management’s estimation of this useful life is based on circumstances that exist in the seismic industry and information available at the time of the purchase of the asset. As circumstances change and new information becomes available, these estimates could change. Depreciation is computed using the straight-line method. When assets are retired or otherwise disposed of, the cost and related accumulated depreciation are removed from the balance sheet, and any resulting gain or loss is reflected in the results of operations for the period.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Impairment of Long-lived Assets. </w:t>
      </w:r>
      <w:r>
        <w:rPr>
          <w:rFonts w:ascii="Times New Roman;Times;serif" w:hAnsi="Times New Roman;Times;serif"/>
          <w:sz w:val="20"/>
        </w:rPr>
        <w:t>Long-lived assets are tested for impairment at the asset group level when events or changes in circumstances indicate the carrying value of the asset group may not be recoverable. Recognition of an impairment charge is required if future expected undiscounted net cash flows are insufficient to recover the carrying value of the asset group and the fair value of the asset group is below its carrying value. Depending upon the facts and circumstances, when indicators of asset impairment exist, management will test the asset group for impairment through developing a forecast of future undiscounted cash flows expected to be generated by the asset group or by estimating the fair value of assets within the asset group in lieu of detailed cash flow projections. If either the future undiscounted cashflows expected to be generated by the asset group or the fair of the assets within the asset group exceeds the carrying value of the asset group no impairment would be recognized. During the year ended December 31, 2024, management tested two of its asset groups for impairment through estimating the fair value of certain assets within the asset groups using a market approach or cost approach, as applicable. Because the fair value of these assets collectively exceeded the carrying value of the asset group, no impairment charges were recognized for the year ended December 31, 2024. No impairment test was required during the three and nine months ended September 30,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Use of Estimates in the Preparation of Financial Statements.</w:t>
      </w:r>
      <w:r>
        <w:rPr>
          <w:rFonts w:ascii="Times New Roman;Times;serif" w:hAnsi="Times New Roman;Times;serif"/>
          <w:sz w:val="20"/>
        </w:rPr>
        <w:t xml:space="preserve"> Preparation of the accompanying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Because of the use of assumptions and estimates inherent in the reporting process, actual results could differ from those estimates.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Services are provided under cancelable service contracts which usually have an original expected duration of one year or less. These contracts are either “turnkey” or “term” agreements. Under both types of agreements, the Company recognizes revenues as the services are performed. Revenue is generally recognized based on square miles of data recorded compared to total square miles anticipated to be recorded on the survey using the total estimated revenue for the service contract. In the case of a cancelled service contract, the client is billed and revenue is recognized for any third party charges and square miles of data recorded up to the date of cancellation.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receives reimbursements for certain out-of-pocket expenses under the terms of the service contracts. The amounts billed to clients are included at their gross amount in the total estimated revenue for the service contract.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Clients are billed as permitted by the service contract. Contract assets and contract liabilities are the result of timing differences between revenue recognition, billings and cash collections. If billing occurs prior to the revenue recognition or billing exceeds the revenue recognized, the amount is considered deferred revenue and a contract liability. Conversely, if the revenue recognition exceeds the billing, the excess is considered an unbilled receivable and a contract asset. As services are performed, those deferred revenue amounts are recognized as revenue.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 some instances, third-party permitting, surveying, drilling, helicopter, equipment rental and mobilization costs that directly relate to the contract are utilized to fulfill the contract obligations. These fulfillment costs are included in prepaid expenses and other current assets and generally amortized based on the total square miles of data recorded compared to total square miles anticipated to be recorded on the survey using the total estimated fulfillment costs for the service contract.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Estimates for total revenue and total fulfillment cost on any service contract are based on certain qualitative and quantitative judgments. Management considers a variety of factors such as whether various components of the performance obligation will be performed internally or externally, cost of third party services, and facts and circumstances unique to the performance obligation in making these estimates.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Additionally, the Company’s policy includes (i) ignoring the financing component when estimating the transaction price for service contracts completed within one year, (ii) excluding sales tax collected from the customer when determining the transaction price, and (iii) expensing incremental costs to obtain a customer contract if the amortization period for those costs would otherwise be one year or less. See note 5 for additional disclosures related to disaggregated revenue.</w:t>
      </w:r>
    </w:p>
    <w:p>
      <w:pPr>
        <w:pStyle w:val="TextBody"/>
        <w:bidi w:val="0"/>
        <w:spacing w:lineRule="auto" w:line="314" w:before="0" w:after="120"/>
        <w:ind w:left="0" w:right="0" w:firstLine="490"/>
        <w:jc w:val="both"/>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0"/>
        </w:rPr>
        <w:t xml:space="preserve">Share-based compensation. </w:t>
      </w:r>
      <w:r>
        <w:rPr>
          <w:rFonts w:ascii="Times New Roman;Times;serif" w:hAnsi="Times New Roman;Times;serif"/>
          <w:sz w:val="20"/>
        </w:rPr>
        <w:t>We measure and record compensation expense for share-based payment awards to employees and outside directors based on estimated grant date fair values. Grant date fair value is determined by averaging the high and low stock price on the grant date. We recognize compensation costs for awards granted over the requisite service period based on the grant date fair value in fee operating expenses and general and administrative expenses on our consolidated statements of operations. During the three and nine months ended September 30, 2025 we granted 0 and 5,050 shares, respectively. For the nine months ended September 30, 2025, we recognized expense related to restricted stock unit awards of $70,000 and $17,000 in fee operating expenses and general and administrative expenses, respectively. Additionally, we recognize forfeitures of share-based compensation as they occur.</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Risks and Uncertainties.</w:t>
      </w:r>
      <w:r>
        <w:rPr>
          <w:rFonts w:ascii="Times New Roman;Times;serif" w:hAnsi="Times New Roman;Times;serif"/>
          <w:sz w:val="20"/>
        </w:rPr>
        <w:t xml:space="preserve"> The Company’s ability to be profitable in the future will depend on many factors beyond its control, but primarily on the level of demand for land-based seismic data acquisition services by oil and natural gas exploration and development companies. The Company incurred net losses of $1.2 million and $5.6 million for the three months ended September 30, 2025 and 2024, respectively. The Company incurred a net losses of $2.5 million and $3.3 million for the nine months ended September 30, 2025 and 2024, respectively. As of September 30, 2025, the Company had $5.1 million in cash, and a negative working capital balance of $3.3 million. The Company believes that our cash flows from operations, and our current financial position are adequate to fund our continued operations.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0"/>
        </w:rPr>
        <w:t>Recently Issued Accounting Pronouncements</w:t>
      </w:r>
      <w:r>
        <w:rPr>
          <w:rFonts w:ascii="Times New Roman;Times;serif" w:hAnsi="Times New Roman;Times;serif"/>
          <w:sz w:val="20"/>
        </w:rPr>
        <w:t xml:space="preserve">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 xml:space="preserve">Income Taxes (Topic 740): Improvements to Income Tax Disclosures </w:t>
      </w:r>
      <w:r>
        <w:rPr>
          <w:rFonts w:ascii="Times New Roman;Times;serif" w:hAnsi="Times New Roman;Times;serif"/>
          <w:sz w:val="20"/>
        </w:rPr>
        <w:t>(“ASU 2023-09”)</w:t>
      </w:r>
      <w:r>
        <w:rPr>
          <w:rFonts w:ascii="Times New Roman;Times;serif" w:hAnsi="Times New Roman;Times;serif"/>
          <w:i/>
          <w:sz w:val="20"/>
        </w:rPr>
        <w:t>.</w:t>
      </w:r>
      <w:r>
        <w:rPr>
          <w:rFonts w:ascii="Times New Roman;Times;serif" w:hAnsi="Times New Roman;Times;serif"/>
          <w:sz w:val="20"/>
        </w:rPr>
        <w:t xml:space="preserve"> ASU 2023-09 seeks to improve transparency of income tax disclosures by requiring consistent categories and greater disaggregation of information in the rate reconciliation and income taxes paid disclosures. The updated guidance is effective for annual periods after January 1, 2025, and will be reflected through additional disclosures in the Company’s 2025 10-K.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enhances the disclosures required for certain expense captions in the Company's annual and interim consolidated financial statements. This ASU is effective prospectively or retrospectively for fiscal years beginning after December 15, 2026, and for interim reporting periods beginning after December 15, 2027. Early adoption is permitted. The Company is currently evaluating the impact of this standard on its disclosures.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Credit Losses (Topic 326): Measurement of Credit Losses for Accounts Receivable and Contract Assets</w:t>
      </w:r>
      <w:r>
        <w:rPr>
          <w:rFonts w:ascii="Times New Roman;Times;serif" w:hAnsi="Times New Roman;Times;serif"/>
          <w:sz w:val="20"/>
        </w:rPr>
        <w:t>. This ASU introduces a practical expedient to simplify the application of Topic 326, Financial Instruments - Credit Losses, to current accounts receivable and current contract assets arising from revenue transactions accounted for under topic 606, Revenue from Contracts with Customers. This ASU is effective for all entities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impact of this standard on its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3. EQUIPMENT PURCHASE AGREEMENT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August 2025, Dawson Operating LLC (“Dawson Operating”), a wholly-owned subsidiary of Dawson Geophysical Company, entered into an equipment purchase agreement with GTC, Inc. (“GTC”), a wholly-owned subsidiary of Geospace Technologies Corporation (“Geospace”), pursuant to which, among other things, Dawson Operating agreed to acquire new single point node channels from GTC in three shipments for an aggregate purchase price of approximately $24.2 million (the “Equipment Purchase Agreement”) subject to the terms and conditions thereof. 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will each have a term of 36 months, bear a fixed interest rate of 8.75% annually and may be prepaid in whole or in part at any time without penalty.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the Company has taken delivery of $10.4 million of equipment and issued two Geospace Notes with an aggregate principal of approximately $7.5 million.</w:t>
      </w:r>
    </w:p>
    <w:p>
      <w:pPr>
        <w:pStyle w:val="TextBody"/>
        <w:bidi w:val="0"/>
        <w:spacing w:lineRule="auto" w:line="314" w:before="0" w:after="12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4. FAIR VALUE OF FINANCIAL INSTRUMENTS </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At September 30, 2025 and December 31, 2024, the Company’s financial instruments included cash and cash equivalents, accounts receivable, other current assets, accounts payable, other current liabilities, notes payable, finance leases and operating lease liabilities. Due to the short-term maturities of cash and cash equivalents, accounts receivable, other current assets, accounts payable and other current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liabilities, the carrying amounts approximate fair value at the respective balance sheet dates. The carrying value of the notes payable approximate their fair value based on comparisons with the prevailing market interest rate. The fair values of the Company’s notes payable are level 2 measurements in the fair value hierarchy.</w:t>
      </w:r>
    </w:p>
    <w:p>
      <w:pPr>
        <w:pStyle w:val="TextBody"/>
        <w:bidi w:val="0"/>
        <w:spacing w:lineRule="auto" w:line="314" w:before="0" w:after="12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5. OPERATING SEGMENTS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Company’s chief operating decision maker (President and Chief Executive Officer) reviews the discrete segment financial information on a geographic basis for the U.S. operations and Canada Operations. The revenue for both of the Company’s segments is generated by the same services, which utilize the same type of equipment and personnel. As a result, the Company has two reportable segments, U.S. Operations and Canada Operations. The performance of our segments is evaluated primarily on Adjusted EBITDA. We define Adjusted EBITDA as our net income (loss), before (i) interest expense, net, (ii) income tax expense or benefit, (iii) depreciation, depletion and amortization and (iv) other unusual items. For the three and nine months ended September 30, 2025, and 2024, there were no unusual items and therefore Adjusted EBITDA and EBITDA were equal.</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Beginning in the year ended December 31, 2024, a portion of the management charges incurred by the U.S. segment were allocated to the Canadian segment based upon an activity level determined to be appropriate by management. These charges totaled approximately $23,000 and $19,000 for the three months ended September 30, 2025 and 2024, respectively and approximately $237,000 and $191,000 for the nine months ended September 30, 2025 and 2024, respectively.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bookmarkStart w:id="641" w:name="Tc__bQxazoyhEipAFjx8nR_OQ_29_16"/>
      <w:bookmarkStart w:id="642" w:name="Tc_rmEIOUokxUWvJ52EyVSa6A_29_13"/>
      <w:bookmarkStart w:id="643" w:name="Tc_AV9frRVEREmd6hK4giEKsA_29_10"/>
      <w:bookmarkStart w:id="644" w:name="Tc_Ni3PrQvhi02o0_5umHLA7g_29_7"/>
      <w:bookmarkStart w:id="645" w:name="Tc_jlwBUJet6UO5ZF18oatRKA_29_4"/>
      <w:bookmarkStart w:id="646" w:name="Tc_eCJWeZ3LU0-nr_bEvIu39Q_29_1"/>
      <w:bookmarkStart w:id="647" w:name="Tc_s_Q_Kp5aSkekiqYmYV5Tzg_29_0"/>
      <w:bookmarkStart w:id="648" w:name="Tc_98Feko9EIk-YvwCZyyF6Ug_27_16"/>
      <w:bookmarkStart w:id="649" w:name="Tc_qzCZEkUqaEq2vQcjc1Lcpg_27_13"/>
      <w:bookmarkStart w:id="650" w:name="Tc_x7CuCZBeK0OK69GQSYJM3A_27_10"/>
      <w:bookmarkStart w:id="651" w:name="Tc_RikaY1h3nU-Bcm7jcqCpUw_27_7"/>
      <w:bookmarkStart w:id="652" w:name="Tc_PqFJndjlhk-3tKUjQqCf6w_27_4"/>
      <w:bookmarkStart w:id="653" w:name="Tc_fy_cwX8vEk6s11McPDVO9w_27_1"/>
      <w:bookmarkStart w:id="654" w:name="Tc_Oxejc67tNk2ktVe9fsdL5w_27_0"/>
      <w:bookmarkStart w:id="655" w:name="Tc_532JHsSO0UeJbihcNTA-4w_26_11"/>
      <w:bookmarkStart w:id="656" w:name="Tc_Z-UcYpkRvUOzNBKPL-w0TA_26_2"/>
      <w:bookmarkStart w:id="657" w:name="Tc_2ThhJmgTXUuRGV6s1F3jcQ_26_0"/>
      <w:bookmarkStart w:id="658" w:name="Tc_prYmAV-8_UeAjVdysmBP2g_25_0"/>
      <w:bookmarkStart w:id="659" w:name="Tc_-EAUFM7be0OSc-gE78aCkg_24_16"/>
      <w:bookmarkStart w:id="660" w:name="Tc_1l6n61zqwUGLC3vLKqXX9A_24_13"/>
      <w:bookmarkStart w:id="661" w:name="Tc_qWVIUgnT3UeCL-jqQUOFfg_24_10"/>
      <w:bookmarkStart w:id="662" w:name="Tc_SGs7sJy5B0u8GmviIquT1g_24_7"/>
      <w:bookmarkStart w:id="663" w:name="Tc_yIWOmx4Kzk-zGpvc4IDGGg_24_4"/>
      <w:bookmarkStart w:id="664" w:name="Tc_rnFEovdP70W2fu1xmoOTZg_24_1"/>
      <w:bookmarkStart w:id="665" w:name="Tc_ys-O4E0Y00GVHG6v6nXrqQ_24_0"/>
      <w:bookmarkStart w:id="666" w:name="Tc_QmOCQM84nU6odpREw3JjVA_23_14"/>
      <w:bookmarkStart w:id="667" w:name="Tc_g47f7jddLkODMr-w3uOEmg_23_5"/>
      <w:bookmarkStart w:id="668" w:name="Tc_w6Cl0j7L6Uam5SSAfo2_5w_23_0"/>
      <w:bookmarkStart w:id="669" w:name="Tc_oitYbpIWxkKi1JV-WRC86Q_22_0"/>
      <w:bookmarkStart w:id="670" w:name="Tc_gW6DDYvHPE2Nb6Csp2Wmaw_21_0"/>
      <w:bookmarkStart w:id="671" w:name="Tc_LO-WHCEBUk-QKJmqZkqeag_20_0"/>
      <w:bookmarkStart w:id="672" w:name="Tc_4KZsLHsPAU2ffgGiEdUJAQ_19_0"/>
      <w:bookmarkStart w:id="673" w:name="Tc_rASQfvQeoUylFSkQIvWi0A_18_0"/>
      <w:bookmarkStart w:id="674" w:name="Tc_ZzpU41cqIkmlD0oyl16eDw_16_0"/>
      <w:bookmarkStart w:id="675" w:name="Tc_WYzdbymUR0uTqLXPx69zYQ_13_0"/>
      <w:bookmarkStart w:id="676" w:name="Tc_UVWUNM_B-U6PCRhZOqtnyw_12_0"/>
      <w:bookmarkStart w:id="677" w:name="Tc_b7Uu7jE7f0moyd_H8wPthA_11_0"/>
      <w:bookmarkStart w:id="678" w:name="Tc_4KxVe6gwdkS1J6idyNbHRQ_10_5"/>
      <w:bookmarkStart w:id="679" w:name="Tc_l4Un2c6dik25X2pBtflzuA_10_0"/>
      <w:bookmarkStart w:id="680" w:name="Tc_eWOpGWiC7UGGNaWqasnqLg_9_0"/>
      <w:bookmarkStart w:id="681" w:name="Tc_K2t36Ge8S0eJ8wnu427Qbw_8_0"/>
      <w:bookmarkStart w:id="682" w:name="Tc_5xkQtyhI4EeG3OTsiqW4yQ_5_5"/>
      <w:bookmarkStart w:id="683" w:name="Tc_sJchMK2xR0SUyRhx0mQv1A_5_0"/>
      <w:bookmarkStart w:id="684" w:name="Tc_IoK_-TR_V0uBJkKyjW9jFg_4_16"/>
      <w:bookmarkStart w:id="685" w:name="Tc_0K57bdC7okCdqtLTNYDX_g_4_13"/>
      <w:bookmarkStart w:id="686" w:name="Tc_4U_PiieXCUSP7H0V-6Je4Q_4_10"/>
      <w:bookmarkStart w:id="687" w:name="Tc_Ii6f2qwdD0-8tPWzLw2Grw_4_7"/>
      <w:bookmarkStart w:id="688" w:name="Tc_vkUibXSlv0SZUWmmdyj0hg_4_4"/>
      <w:bookmarkStart w:id="689" w:name="Tc_ACUqCANS30ejKahDZ1k6dA_4_1"/>
      <w:bookmarkStart w:id="690" w:name="Tc_Q006wW8sTEGGmp1oMvEi7A_4_0"/>
      <w:bookmarkStart w:id="691" w:name="Tc_c3GuA7iF5UioMVn1z7NJ0g_3_0"/>
      <w:bookmarkStart w:id="692" w:name="Tc_lNIKUzFjF0WGCUgwOx1rIA_2_16"/>
      <w:bookmarkStart w:id="693" w:name="Tc_gZEuoXT2nkO31-xRJ8qJjA_2_13"/>
      <w:bookmarkStart w:id="694" w:name="Tc_RiSgyfwzl0qERgCpE__UJw_2_10"/>
      <w:bookmarkStart w:id="695" w:name="Tc_82Kz31su9UyjIk_9r7rsJg_2_7"/>
      <w:bookmarkStart w:id="696" w:name="Tc_aEz6YWNQ6EWwACr64CF3jA_2_4"/>
      <w:bookmarkStart w:id="697" w:name="Tc_SLs4fhtcukCxouybLbAhrA_2_1"/>
      <w:bookmarkStart w:id="698" w:name="Tc_xaHw3dcegkSm2M61XkK8aA_1_10"/>
      <w:bookmarkStart w:id="699" w:name="Tc_yo6APsQVUUK7FaZo2I4gaw_1_1"/>
      <w:bookmarkStart w:id="700" w:name="_949f43fc_c59a_4b5f_ae74_4cb8d729f5fe"/>
      <w:bookmarkStart w:id="701" w:name="Tc_AR66rV8gFkmaKdyhdq7A9A_29_16"/>
      <w:bookmarkStart w:id="702" w:name="Tc_5O4W3euOEk6yOebeYCxvRg_29_13"/>
      <w:bookmarkStart w:id="703" w:name="Tc_zPEI4Udi9ESrSpuV3vWkSA_29_10"/>
      <w:bookmarkStart w:id="704" w:name="Tc_YeGRuqc6BkKqLFQMDDbu5w_29_7"/>
      <w:bookmarkStart w:id="705" w:name="Tc_ihLWOHa0WEKUpDlfOXRFxA_29_4"/>
      <w:bookmarkStart w:id="706" w:name="Tc_BMhXMOjLpUKopkLRE9hljA_29_1"/>
      <w:bookmarkStart w:id="707" w:name="Tc_-ZtAnXzSUECaHGHBF3QwCw_29_0"/>
      <w:bookmarkStart w:id="708" w:name="Tc_qNPvaBXRCU25wlfiSO91DA_27_16"/>
      <w:bookmarkStart w:id="709" w:name="Tc_8TTh_0VZH0qAQlBElf9Org_27_13"/>
      <w:bookmarkStart w:id="710" w:name="Tc_xZa5xs1U5U6lt_zogZtTJQ_27_10"/>
      <w:bookmarkStart w:id="711" w:name="Tc_yRuRC2-In0qASGFTg98WSA_27_7"/>
      <w:bookmarkStart w:id="712" w:name="Tc_bctExJHW4Ue0MdNTt4oFBw_27_4"/>
      <w:bookmarkStart w:id="713" w:name="Tc_kRXvYSuRxUmlSh9GwBpu9w_27_1"/>
      <w:bookmarkStart w:id="714" w:name="Tc_iJsHAVtJF02uE51LR4S-3w_27_0"/>
      <w:bookmarkStart w:id="715" w:name="Tc_TB_AQ7VccEKr-9TX04OuKQ_26_11"/>
      <w:bookmarkStart w:id="716" w:name="Tc_rWNgKq_6IkCDVDO-Gqk-tQ_26_2"/>
      <w:bookmarkStart w:id="717" w:name="Tc_zWR2GTd8M0m7aWfehWSS9Q_26_0"/>
      <w:bookmarkStart w:id="718" w:name="Tc_WyD0oXubwkaO3LqTnIRG0A_25_0"/>
      <w:bookmarkStart w:id="719" w:name="Tc_lNz0qAjylUKckSfLDTTiTg_24_16"/>
      <w:bookmarkStart w:id="720" w:name="Tc_l14feKbrQEWbzA3Limad3Q_24_13"/>
      <w:bookmarkStart w:id="721" w:name="Tc_Dd25SKrhlU-o5UGfp8QNLA_24_10"/>
      <w:bookmarkStart w:id="722" w:name="Tc_ud40jhHVSUap4ICSMONkPw_24_7"/>
      <w:bookmarkStart w:id="723" w:name="Tc_l4T_QANbB0SeERIm_K53gw_24_4"/>
      <w:bookmarkStart w:id="724" w:name="Tc_jfAjJ_Shdke6B1ls1HJgFA_24_1"/>
      <w:bookmarkStart w:id="725" w:name="Tc_0aMHwYIj2UGZA7W0AKtAqg_24_0"/>
      <w:bookmarkStart w:id="726" w:name="Tc_IPtIbakvJkaYncFDKP9eoA_23_14"/>
      <w:bookmarkStart w:id="727" w:name="Tc_33ssR0DUgUOeCxoc_kjWAQ_23_5"/>
      <w:bookmarkStart w:id="728" w:name="Tc_lrHnTTE9b02tu0EB09Zd3w_23_0"/>
      <w:bookmarkStart w:id="729" w:name="Tc_TmkdjpRfuUC-c-2_xcGMtQ_22_0"/>
      <w:bookmarkStart w:id="730" w:name="Tc_9RDyNRsKWEi-Vz58H-1JuQ_21_0"/>
      <w:bookmarkStart w:id="731" w:name="Tc_4JOSiA45mkWjfzHXn8lMag_20_0"/>
      <w:bookmarkStart w:id="732" w:name="Tc_agtsa2jerUGd49d0nQAA7g_19_0"/>
      <w:bookmarkStart w:id="733" w:name="Tc__3mZuF5oK0uri_g7qj9rGw_18_0"/>
      <w:bookmarkStart w:id="734" w:name="Tc_IP9rH3MohUyVHgBn2UKFkg_16_0"/>
      <w:bookmarkStart w:id="735" w:name="Tc_OnJk6liCA0i-QanK_ZjBAA_13_0"/>
      <w:bookmarkStart w:id="736" w:name="Tc_pJoHdklDT0COYSiGlJlqog_12_0"/>
      <w:bookmarkStart w:id="737" w:name="Tc_dc7FzT_A50qCzfp6vv2wXw_11_0"/>
      <w:bookmarkStart w:id="738" w:name="Tc_Hcrin0qHvU2IJfoTxHhDtQ_10_0"/>
      <w:bookmarkStart w:id="739" w:name="Tc_0bIdP0b7UECen2XzqL8p3g_9_0"/>
      <w:bookmarkStart w:id="740" w:name="Tc_GyqnYjuoAkGt0TTUIY-SHg_8_0"/>
      <w:bookmarkStart w:id="741" w:name="Tc_LmpCl7Y6LkCWOxMp-jGfaQ_5_0"/>
      <w:bookmarkStart w:id="742" w:name="Tc_DSmoz68A-0m-veI8mBMwAA_4_16"/>
      <w:bookmarkStart w:id="743" w:name="Tc_PEQHp1lfxECxU6mViC-6QA_4_13"/>
      <w:bookmarkStart w:id="744" w:name="Tc_iQKhAFTF3kCxoHOkhhHqzg_4_10"/>
      <w:bookmarkStart w:id="745" w:name="Tc_uD5HS5PZVUGfBSgAJilJvg_4_7"/>
      <w:bookmarkStart w:id="746" w:name="Tc_-PllojZa4EuvqN9ttWLrDA_4_4"/>
      <w:bookmarkStart w:id="747" w:name="Tc_fxY-A-f-EkignWd_O64HUA_4_1"/>
      <w:bookmarkStart w:id="748" w:name="Tc_0XHsfMz1KUum-DIdiDfQtA_4_0"/>
      <w:bookmarkStart w:id="749" w:name="Tc_xmy1pcSliUOiPtKTwM0OMw_3_0"/>
      <w:bookmarkStart w:id="750" w:name="Tc_Y6fFGWtj3USv4WjGUoMfQg_2_16"/>
      <w:bookmarkStart w:id="751" w:name="Tc_2xDbbS0900GycgboWJnTrg_2_13"/>
      <w:bookmarkStart w:id="752" w:name="Tc_DvsGo-B_UUeze9cgyb4cHg_2_10"/>
      <w:bookmarkStart w:id="753" w:name="Tc_2Ayy5AlFAE6EOyb1WjK6rQ_2_7"/>
      <w:bookmarkStart w:id="754" w:name="Tc_-Z1fK_9m2EW8y0RIbCJg0Q_2_4"/>
      <w:bookmarkStart w:id="755" w:name="Tc_2JfA0ng9uUmJpvYvo0ukIQ_2_1"/>
      <w:bookmarkStart w:id="756" w:name="Tc_05Vm1DC6W02Jrts_cw37OQ_1_10"/>
      <w:bookmarkStart w:id="757" w:name="Tc_AUcnLDJJCkykEhv5P61EPA_1_1"/>
      <w:bookmarkStart w:id="758" w:name="_3faee974_edb3_4adb_8cda_f9a100915046"/>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rPr>
          <w:rFonts w:ascii="Times New Roman;Times;serif" w:hAnsi="Times New Roman;Times;serif"/>
          <w:sz w:val="20"/>
        </w:rPr>
        <w:t>The following tables present the Company’s income statements by operating segment (in thousands):</w:t>
      </w:r>
    </w:p>
    <w:tbl>
      <w:tblPr>
        <w:tblW w:w="10205" w:type="dxa"/>
        <w:jc w:val="left"/>
        <w:tblInd w:w="0" w:type="dxa"/>
        <w:tblLayout w:type="fixed"/>
        <w:tblCellMar>
          <w:top w:w="0" w:type="dxa"/>
          <w:left w:w="0" w:type="dxa"/>
          <w:bottom w:w="0" w:type="dxa"/>
          <w:right w:w="0" w:type="dxa"/>
        </w:tblCellMar>
      </w:tblPr>
      <w:tblGrid>
        <w:gridCol w:w="2904"/>
        <w:gridCol w:w="313"/>
        <w:gridCol w:w="777"/>
        <w:gridCol w:w="114"/>
        <w:gridCol w:w="338"/>
        <w:gridCol w:w="864"/>
        <w:gridCol w:w="114"/>
        <w:gridCol w:w="261"/>
        <w:gridCol w:w="793"/>
        <w:gridCol w:w="109"/>
        <w:gridCol w:w="303"/>
        <w:gridCol w:w="787"/>
        <w:gridCol w:w="112"/>
        <w:gridCol w:w="313"/>
        <w:gridCol w:w="889"/>
        <w:gridCol w:w="112"/>
        <w:gridCol w:w="255"/>
        <w:gridCol w:w="847"/>
      </w:tblGrid>
      <w:tr>
        <w:trPr/>
        <w:tc>
          <w:tcPr>
            <w:tcW w:w="2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44040" cy="175260"/>
                      <wp:effectExtent l="0" t="0" r="0" b="0"/>
                      <wp:wrapNone/>
                      <wp:docPr id="70" name="Frame70"/>
                      <a:graphic xmlns:a="http://schemas.openxmlformats.org/drawingml/2006/main">
                        <a:graphicData uri="http://schemas.microsoft.com/office/word/2010/wordprocessingShape">
                          <wps:wsp>
                            <wps:cNvSpPr txBox="1"/>
                            <wps:spPr>
                              <a:xfrm>
                                <a:off x="0" y="0"/>
                                <a:ext cx="184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98755" cy="175260"/>
                      <wp:effectExtent l="0" t="0" r="0" b="0"/>
                      <wp:wrapNone/>
                      <wp:docPr id="71" name="Frame71"/>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3395" cy="175260"/>
                      <wp:effectExtent l="0" t="0" r="0" b="0"/>
                      <wp:wrapNone/>
                      <wp:docPr id="72" name="Frame72"/>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2390" cy="175260"/>
                      <wp:effectExtent l="0" t="0" r="0" b="0"/>
                      <wp:wrapNone/>
                      <wp:docPr id="73" name="Frame73"/>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4630" cy="175260"/>
                      <wp:effectExtent l="0" t="0" r="0" b="0"/>
                      <wp:wrapNone/>
                      <wp:docPr id="74" name="Frame74"/>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48640" cy="175260"/>
                      <wp:effectExtent l="0" t="0" r="0" b="0"/>
                      <wp:wrapNone/>
                      <wp:docPr id="75" name="Frame75"/>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2390" cy="175260"/>
                      <wp:effectExtent l="0" t="0" r="0" b="0"/>
                      <wp:wrapNone/>
                      <wp:docPr id="76" name="Frame76"/>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5735" cy="175260"/>
                      <wp:effectExtent l="0" t="0" r="0" b="0"/>
                      <wp:wrapNone/>
                      <wp:docPr id="77" name="Frame7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03555" cy="175260"/>
                      <wp:effectExtent l="0" t="0" r="0" b="0"/>
                      <wp:wrapNone/>
                      <wp:docPr id="78" name="Frame7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92405" cy="175260"/>
                      <wp:effectExtent l="0" t="0" r="0" b="0"/>
                      <wp:wrapNone/>
                      <wp:docPr id="80" name="Frame8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9745" cy="175260"/>
                      <wp:effectExtent l="0" t="0" r="0" b="0"/>
                      <wp:wrapNone/>
                      <wp:docPr id="81" name="Frame81"/>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1120" cy="175260"/>
                      <wp:effectExtent l="0" t="0" r="0" b="0"/>
                      <wp:wrapNone/>
                      <wp:docPr id="82" name="Frame82"/>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98755" cy="175260"/>
                      <wp:effectExtent l="0" t="0" r="0" b="0"/>
                      <wp:wrapNone/>
                      <wp:docPr id="83" name="Frame83"/>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64515" cy="175260"/>
                      <wp:effectExtent l="0" t="0" r="0" b="0"/>
                      <wp:wrapNone/>
                      <wp:docPr id="84" name="Frame84"/>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1120" cy="175260"/>
                      <wp:effectExtent l="0" t="0" r="0" b="0"/>
                      <wp:wrapNone/>
                      <wp:docPr id="85" name="Frame85"/>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1925" cy="175260"/>
                      <wp:effectExtent l="0" t="0" r="0" b="0"/>
                      <wp:wrapNone/>
                      <wp:docPr id="86" name="Frame8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37845" cy="175260"/>
                      <wp:effectExtent l="0" t="0" r="0" b="0"/>
                      <wp:wrapNone/>
                      <wp:docPr id="87" name="Frame87"/>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04" w:type="dxa"/>
            <w:tcBorders/>
            <w:vAlign w:val="center"/>
          </w:tcPr>
          <w:p>
            <w:pPr>
              <w:pStyle w:val="TableContents"/>
              <w:bidi w:val="0"/>
              <w:spacing w:lineRule="auto" w:line="285" w:before="0" w:after="0"/>
              <w:ind w:left="0" w:right="0" w:hanging="0"/>
              <w:jc w:val="left"/>
              <w:rPr/>
            </w:pPr>
            <w:r>
              <w:rPr/>
              <w:t>​</w:t>
            </w:r>
          </w:p>
        </w:tc>
        <w:tc>
          <w:tcPr>
            <w:tcW w:w="3574"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c>
          <w:tcPr>
            <w:tcW w:w="109" w:type="dxa"/>
            <w:tcBorders/>
            <w:vAlign w:val="center"/>
          </w:tcPr>
          <w:p>
            <w:pPr>
              <w:pStyle w:val="TableContents"/>
              <w:bidi w:val="0"/>
              <w:spacing w:lineRule="auto" w:line="285" w:before="0" w:after="0"/>
              <w:ind w:left="0" w:right="0" w:hanging="0"/>
              <w:jc w:val="center"/>
              <w:rPr/>
            </w:pPr>
            <w:r>
              <w:rPr/>
              <w:t>​</w:t>
            </w:r>
          </w:p>
        </w:tc>
        <w:tc>
          <w:tcPr>
            <w:tcW w:w="3618"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2904" w:type="dxa"/>
            <w:tcBorders/>
            <w:vAlign w:val="center"/>
          </w:tcPr>
          <w:p>
            <w:pPr>
              <w:pStyle w:val="TableContents"/>
              <w:bidi w:val="0"/>
              <w:spacing w:lineRule="auto" w:line="285"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4" w:type="dxa"/>
            <w:tcBorders/>
            <w:vAlign w:val="center"/>
          </w:tcPr>
          <w:p>
            <w:pPr>
              <w:pStyle w:val="TableContents"/>
              <w:bidi w:val="0"/>
              <w:spacing w:lineRule="auto" w:line="285" w:before="0" w:after="0"/>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4" w:type="dxa"/>
            <w:tcBorders/>
            <w:vAlign w:val="center"/>
          </w:tcPr>
          <w:p>
            <w:pPr>
              <w:pStyle w:val="TableContents"/>
              <w:bidi w:val="0"/>
              <w:spacing w:lineRule="auto" w:line="285" w:before="0" w:after="0"/>
              <w:ind w:left="0" w:right="0" w:hanging="0"/>
              <w:jc w:val="center"/>
              <w:rPr/>
            </w:pPr>
            <w:r>
              <w:rPr/>
              <w:t>​</w:t>
            </w:r>
          </w:p>
        </w:tc>
        <w:tc>
          <w:tcPr>
            <w:tcW w:w="105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09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2" w:type="dxa"/>
            <w:tcBorders/>
            <w:vAlign w:val="center"/>
          </w:tcPr>
          <w:p>
            <w:pPr>
              <w:pStyle w:val="TableContents"/>
              <w:bidi w:val="0"/>
              <w:spacing w:lineRule="auto" w:line="285" w:before="0" w:after="0"/>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2" w:type="dxa"/>
            <w:tcBorders/>
            <w:vAlign w:val="center"/>
          </w:tcPr>
          <w:p>
            <w:pPr>
              <w:pStyle w:val="TableContents"/>
              <w:bidi w:val="0"/>
              <w:spacing w:lineRule="auto" w:line="285" w:before="0" w:after="0"/>
              <w:ind w:left="0" w:right="0" w:hanging="0"/>
              <w:jc w:val="center"/>
              <w:rPr/>
            </w:pPr>
            <w:r>
              <w:rPr/>
              <w:t>​</w:t>
            </w:r>
          </w:p>
        </w:tc>
        <w:tc>
          <w:tcPr>
            <w:tcW w:w="11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777" w:type="dxa"/>
            <w:tcBorders/>
            <w:shd w:fill="CCEEFF" w:val="clear"/>
            <w:vAlign w:val="center"/>
          </w:tcPr>
          <w:p>
            <w:pPr>
              <w:pStyle w:val="TableContents"/>
              <w:bidi w:val="0"/>
              <w:spacing w:lineRule="auto" w:line="285" w:before="0" w:after="0"/>
              <w:ind w:left="0" w:right="0" w:hanging="0"/>
              <w:jc w:val="center"/>
              <w:rPr/>
            </w:pPr>
            <w:r>
              <w:rPr/>
              <w:t>​</w:t>
            </w:r>
          </w:p>
        </w:tc>
        <w:tc>
          <w:tcPr>
            <w:tcW w:w="114" w:type="dxa"/>
            <w:tcBorders/>
            <w:shd w:fill="CCEEFF" w:val="clear"/>
            <w:vAlign w:val="center"/>
          </w:tcPr>
          <w:p>
            <w:pPr>
              <w:pStyle w:val="TableContents"/>
              <w:bidi w:val="0"/>
              <w:spacing w:lineRule="auto" w:line="285" w:before="0" w:after="0"/>
              <w:ind w:left="0" w:right="0" w:hanging="0"/>
              <w:jc w:val="center"/>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864" w:type="dxa"/>
            <w:tcBorders/>
            <w:shd w:fill="CCEEFF" w:val="clear"/>
            <w:vAlign w:val="center"/>
          </w:tcPr>
          <w:p>
            <w:pPr>
              <w:pStyle w:val="TableContents"/>
              <w:bidi w:val="0"/>
              <w:spacing w:lineRule="auto" w:line="285" w:before="0" w:after="0"/>
              <w:ind w:left="0" w:right="0" w:hanging="0"/>
              <w:jc w:val="center"/>
              <w:rPr/>
            </w:pPr>
            <w:r>
              <w:rPr/>
              <w:t>​</w:t>
            </w:r>
          </w:p>
        </w:tc>
        <w:tc>
          <w:tcPr>
            <w:tcW w:w="114" w:type="dxa"/>
            <w:tcBorders/>
            <w:shd w:fill="CCEEFF" w:val="clear"/>
            <w:vAlign w:val="center"/>
          </w:tcPr>
          <w:p>
            <w:pPr>
              <w:pStyle w:val="TableContents"/>
              <w:bidi w:val="0"/>
              <w:spacing w:lineRule="auto" w:line="285" w:before="0" w:after="0"/>
              <w:ind w:left="0" w:right="0" w:hanging="0"/>
              <w:jc w:val="center"/>
              <w:rPr/>
            </w:pPr>
            <w:r>
              <w:rPr/>
              <w:t>​</w:t>
            </w:r>
          </w:p>
        </w:tc>
        <w:tc>
          <w:tcPr>
            <w:tcW w:w="261"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shd w:fill="CCEEFF" w:val="clear"/>
            <w:vAlign w:val="center"/>
          </w:tcPr>
          <w:p>
            <w:pPr>
              <w:pStyle w:val="TableContents"/>
              <w:bidi w:val="0"/>
              <w:spacing w:lineRule="auto" w:line="285" w:before="0" w:after="0"/>
              <w:ind w:left="0" w:right="0" w:hanging="0"/>
              <w:jc w:val="center"/>
              <w:rPr/>
            </w:pPr>
            <w:r>
              <w:rPr/>
              <w:t>​</w:t>
            </w:r>
          </w:p>
        </w:tc>
        <w:tc>
          <w:tcPr>
            <w:tcW w:w="787" w:type="dxa"/>
            <w:tcBorders/>
            <w:shd w:fill="CCEEFF" w:val="clear"/>
            <w:vAlign w:val="center"/>
          </w:tcPr>
          <w:p>
            <w:pPr>
              <w:pStyle w:val="TableContents"/>
              <w:bidi w:val="0"/>
              <w:spacing w:lineRule="auto" w:line="285" w:before="0" w:after="0"/>
              <w:ind w:left="0" w:right="0" w:hanging="0"/>
              <w:jc w:val="center"/>
              <w:rPr/>
            </w:pPr>
            <w:r>
              <w:rPr/>
              <w:t>​</w:t>
            </w:r>
          </w:p>
        </w:tc>
        <w:tc>
          <w:tcPr>
            <w:tcW w:w="112" w:type="dxa"/>
            <w:tcBorders/>
            <w:shd w:fill="CCEEFF" w:val="clear"/>
            <w:vAlign w:val="center"/>
          </w:tcPr>
          <w:p>
            <w:pPr>
              <w:pStyle w:val="TableContents"/>
              <w:bidi w:val="0"/>
              <w:spacing w:lineRule="auto" w:line="285" w:before="0" w:after="0"/>
              <w:ind w:left="0" w:right="0" w:hanging="0"/>
              <w:jc w:val="center"/>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889" w:type="dxa"/>
            <w:tcBorders/>
            <w:shd w:fill="CCEEFF" w:val="clear"/>
            <w:vAlign w:val="center"/>
          </w:tcPr>
          <w:p>
            <w:pPr>
              <w:pStyle w:val="TableContents"/>
              <w:bidi w:val="0"/>
              <w:spacing w:lineRule="auto" w:line="285" w:before="0" w:after="0"/>
              <w:ind w:left="0" w:right="0" w:hanging="0"/>
              <w:jc w:val="center"/>
              <w:rPr/>
            </w:pPr>
            <w:r>
              <w:rPr/>
              <w:t>​</w:t>
            </w:r>
          </w:p>
        </w:tc>
        <w:tc>
          <w:tcPr>
            <w:tcW w:w="112" w:type="dxa"/>
            <w:tcBorders/>
            <w:shd w:fill="CCEEFF" w:val="clear"/>
            <w:vAlign w:val="center"/>
          </w:tcPr>
          <w:p>
            <w:pPr>
              <w:pStyle w:val="TableContents"/>
              <w:bidi w:val="0"/>
              <w:spacing w:lineRule="auto" w:line="285" w:before="0" w:after="0"/>
              <w:ind w:left="0" w:right="0" w:hanging="0"/>
              <w:jc w:val="center"/>
              <w:rPr/>
            </w:pPr>
            <w:r>
              <w:rPr/>
              <w:t>​</w:t>
            </w:r>
          </w:p>
        </w:tc>
        <w:tc>
          <w:tcPr>
            <w:tcW w:w="255"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47"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1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7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14,776</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166</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14,942</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25,906</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13,030</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38,936</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7,803</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7,804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9,489</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9,739</w:t>
            </w:r>
          </w:p>
        </w:tc>
      </w:tr>
      <w:tr>
        <w:trPr/>
        <w:tc>
          <w:tcPr>
            <w:tcW w:w="2904"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22,579</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167</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22,746</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78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35,395</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13,280</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48,675</w:t>
            </w:r>
          </w:p>
        </w:tc>
      </w:tr>
      <w:tr>
        <w:trPr/>
        <w:tc>
          <w:tcPr>
            <w:tcW w:w="2904"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w:t>
            </w:r>
          </w:p>
        </w:tc>
        <w:tc>
          <w:tcPr>
            <w:tcW w:w="777" w:type="dxa"/>
            <w:tcBorders/>
            <w:shd w:fill="CCEEFF" w:val="clear"/>
            <w:vAlign w:val="center"/>
          </w:tcPr>
          <w:p>
            <w:pPr>
              <w:pStyle w:val="TableContents"/>
              <w:bidi w:val="0"/>
              <w:spacing w:lineRule="auto" w:line="285" w:before="0" w:after="0"/>
              <w:ind w:left="0" w:right="0" w:hanging="0"/>
              <w:jc w:val="lef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0"/>
              <w:ind w:left="0" w:right="0" w:hanging="0"/>
              <w:jc w:val="lef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lef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w:t>
            </w:r>
          </w:p>
        </w:tc>
        <w:tc>
          <w:tcPr>
            <w:tcW w:w="889" w:type="dxa"/>
            <w:tcBorders/>
            <w:shd w:fill="CCEEFF" w:val="clear"/>
            <w:vAlign w:val="center"/>
          </w:tcPr>
          <w:p>
            <w:pPr>
              <w:pStyle w:val="TableContents"/>
              <w:bidi w:val="0"/>
              <w:spacing w:lineRule="auto" w:line="285" w:before="0" w:after="0"/>
              <w:ind w:left="0" w:right="0" w:hanging="0"/>
              <w:jc w:val="lef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7" w:type="dxa"/>
            <w:tcBorders/>
            <w:shd w:fill="CCEEFF" w:val="clear"/>
            <w:vAlign w:val="center"/>
          </w:tcPr>
          <w:p>
            <w:pPr>
              <w:pStyle w:val="TableContents"/>
              <w:bidi w:val="0"/>
              <w:spacing w:lineRule="auto" w:line="285" w:before="0" w:after="0"/>
              <w:ind w:left="0" w:right="0" w:hanging="0"/>
              <w:jc w:val="right"/>
              <w:rPr/>
            </w:pPr>
            <w:r>
              <w:rPr/>
              <w:t>​</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13" w:type="dxa"/>
            <w:tcBorders/>
            <w:vAlign w:val="center"/>
          </w:tcPr>
          <w:p>
            <w:pPr>
              <w:pStyle w:val="TableContents"/>
              <w:bidi w:val="0"/>
              <w:spacing w:lineRule="auto" w:line="285" w:before="0" w:after="0"/>
              <w:ind w:left="0" w:right="0" w:hanging="0"/>
              <w:jc w:val="center"/>
              <w:rPr/>
            </w:pPr>
            <w:r>
              <w:rPr/>
              <w:t>​</w:t>
            </w:r>
          </w:p>
        </w:tc>
        <w:tc>
          <w:tcPr>
            <w:tcW w:w="777"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center"/>
              <w:rPr/>
            </w:pPr>
            <w:r>
              <w:rPr/>
              <w:t>​</w:t>
            </w:r>
          </w:p>
        </w:tc>
        <w:tc>
          <w:tcPr>
            <w:tcW w:w="864"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0"/>
              <w:ind w:left="0" w:right="0" w:hanging="0"/>
              <w:jc w:val="center"/>
              <w:rPr/>
            </w:pPr>
            <w:r>
              <w:rPr/>
              <w:t>​</w:t>
            </w:r>
          </w:p>
        </w:tc>
        <w:tc>
          <w:tcPr>
            <w:tcW w:w="787" w:type="dxa"/>
            <w:tcBorders/>
            <w:vAlign w:val="center"/>
          </w:tcPr>
          <w:p>
            <w:pPr>
              <w:pStyle w:val="TableContents"/>
              <w:bidi w:val="0"/>
              <w:spacing w:lineRule="auto" w:line="285" w:before="0" w:after="0"/>
              <w:ind w:left="0" w:right="0" w:hanging="0"/>
              <w:jc w:val="left"/>
              <w:rPr/>
            </w:pPr>
            <w:r>
              <w:rPr/>
              <w:t>​</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889" w:type="dxa"/>
            <w:tcBorders/>
            <w:vAlign w:val="center"/>
          </w:tcPr>
          <w:p>
            <w:pPr>
              <w:pStyle w:val="TableContents"/>
              <w:bidi w:val="0"/>
              <w:spacing w:lineRule="auto" w:line="285" w:before="0" w:after="0"/>
              <w:ind w:left="0" w:right="0" w:hanging="0"/>
              <w:jc w:val="left"/>
              <w:rPr/>
            </w:pPr>
            <w:r>
              <w:rPr/>
              <w:t>​</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7" w:type="dxa"/>
            <w:tcBorders/>
            <w:vAlign w:val="center"/>
          </w:tcPr>
          <w:p>
            <w:pPr>
              <w:pStyle w:val="TableContents"/>
              <w:bidi w:val="0"/>
              <w:spacing w:lineRule="auto" w:line="285" w:before="0" w:after="0"/>
              <w:ind w:left="0" w:right="0" w:hanging="0"/>
              <w:jc w:val="right"/>
              <w:rPr/>
            </w:pPr>
            <w:r>
              <w:rPr/>
              <w:t>​</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77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11,729</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86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926</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12,655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shd w:fill="CCEEFF" w:val="clear"/>
            <w:vAlign w:val="center"/>
          </w:tcPr>
          <w:p>
            <w:pPr>
              <w:pStyle w:val="TableContents"/>
              <w:bidi w:val="0"/>
              <w:spacing w:lineRule="auto" w:line="285" w:before="0" w:after="0"/>
              <w:ind w:left="0" w:right="0" w:hanging="0"/>
              <w:jc w:val="center"/>
              <w:rPr/>
            </w:pPr>
            <w:r>
              <w:rPr/>
              <w:t>​</w:t>
            </w:r>
          </w:p>
        </w:tc>
        <w:tc>
          <w:tcPr>
            <w:tcW w:w="78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23,086</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8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8,130</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31,216</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7,803</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7,804</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9,489</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9,739</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13" w:type="dxa"/>
            <w:tcBorders/>
            <w:shd w:fill="CCEEFF" w:val="clear"/>
            <w:vAlign w:val="center"/>
          </w:tcPr>
          <w:p>
            <w:pPr>
              <w:pStyle w:val="TableContents"/>
              <w:bidi w:val="0"/>
              <w:spacing w:lineRule="auto" w:line="285" w:before="0" w:after="0"/>
              <w:ind w:left="0" w:right="0" w:hanging="0"/>
              <w:jc w:val="left"/>
              <w:rPr/>
            </w:pPr>
            <w:r>
              <w:rPr/>
              <w:t>​</w:t>
            </w:r>
          </w:p>
        </w:tc>
        <w:tc>
          <w:tcPr>
            <w:tcW w:w="77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19,532</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86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927</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20,459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32,575</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w:t>
            </w:r>
          </w:p>
        </w:tc>
        <w:tc>
          <w:tcPr>
            <w:tcW w:w="8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8,380</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40,955</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13" w:type="dxa"/>
            <w:tcBorders/>
            <w:vAlign w:val="center"/>
          </w:tcPr>
          <w:p>
            <w:pPr>
              <w:pStyle w:val="TableContents"/>
              <w:bidi w:val="0"/>
              <w:spacing w:lineRule="auto" w:line="285" w:before="0" w:after="0"/>
              <w:ind w:left="0" w:right="0" w:hanging="0"/>
              <w:jc w:val="center"/>
              <w:rPr/>
            </w:pPr>
            <w:r>
              <w:rPr/>
              <w:t>​</w:t>
            </w:r>
          </w:p>
        </w:tc>
        <w:tc>
          <w:tcPr>
            <w:tcW w:w="77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1,839</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center"/>
              <w:rPr/>
            </w:pPr>
            <w:r>
              <w:rPr/>
              <w:t>​</w:t>
            </w:r>
          </w:p>
        </w:tc>
        <w:tc>
          <w:tcPr>
            <w:tcW w:w="86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271</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2,110</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0"/>
              <w:ind w:left="0" w:right="0" w:hanging="0"/>
              <w:jc w:val="center"/>
              <w:rPr/>
            </w:pPr>
            <w:r>
              <w:rPr/>
              <w:t>​</w:t>
            </w:r>
          </w:p>
        </w:tc>
        <w:tc>
          <w:tcPr>
            <w:tcW w:w="78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5,392</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1,043</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6,435</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7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1,160</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189</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1,349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3,218</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576</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3,794</w:t>
            </w:r>
          </w:p>
        </w:tc>
      </w:tr>
      <w:tr>
        <w:trPr/>
        <w:tc>
          <w:tcPr>
            <w:tcW w:w="2904" w:type="dxa"/>
            <w:tcBorders/>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7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22,531</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1,387</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23,918</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41,185</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9,999</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51,184</w:t>
            </w:r>
          </w:p>
        </w:tc>
      </w:tr>
      <w:tr>
        <w:trPr/>
        <w:tc>
          <w:tcPr>
            <w:tcW w:w="2904"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777"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shd w:fill="CCEEFF" w:val="clear"/>
            <w:vAlign w:val="center"/>
          </w:tcPr>
          <w:p>
            <w:pPr>
              <w:pStyle w:val="TableContents"/>
              <w:bidi w:val="0"/>
              <w:spacing w:lineRule="auto" w:line="285" w:before="0" w:after="0"/>
              <w:ind w:left="0" w:right="0" w:hanging="0"/>
              <w:jc w:val="center"/>
              <w:rPr/>
            </w:pPr>
            <w:r>
              <w:rPr/>
              <w:t>​</w:t>
            </w:r>
          </w:p>
        </w:tc>
        <w:tc>
          <w:tcPr>
            <w:tcW w:w="787" w:type="dxa"/>
            <w:tcBorders/>
            <w:shd w:fill="CCEEFF" w:val="clear"/>
            <w:vAlign w:val="center"/>
          </w:tcPr>
          <w:p>
            <w:pPr>
              <w:pStyle w:val="TableContents"/>
              <w:bidi w:val="0"/>
              <w:spacing w:lineRule="auto" w:line="285" w:before="0" w:after="0"/>
              <w:ind w:left="0" w:right="0" w:hanging="0"/>
              <w:jc w:val="righ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889" w:type="dxa"/>
            <w:tcBorders/>
            <w:shd w:fill="CCEEFF" w:val="clear"/>
            <w:vAlign w:val="center"/>
          </w:tcPr>
          <w:p>
            <w:pPr>
              <w:pStyle w:val="TableContents"/>
              <w:bidi w:val="0"/>
              <w:spacing w:lineRule="auto" w:line="285" w:before="0" w:after="0"/>
              <w:ind w:left="0" w:right="0" w:hanging="0"/>
              <w:jc w:val="righ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7" w:type="dxa"/>
            <w:tcBorders/>
            <w:shd w:fill="CCEEFF" w:val="clear"/>
            <w:vAlign w:val="center"/>
          </w:tcPr>
          <w:p>
            <w:pPr>
              <w:pStyle w:val="TableContents"/>
              <w:bidi w:val="0"/>
              <w:spacing w:lineRule="auto" w:line="285" w:before="0" w:after="0"/>
              <w:ind w:left="0" w:right="0" w:hanging="0"/>
              <w:jc w:val="right"/>
              <w:rPr/>
            </w:pPr>
            <w:r>
              <w:rPr/>
              <w:t>​</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(loss) from operations</w:t>
            </w:r>
          </w:p>
        </w:tc>
        <w:tc>
          <w:tcPr>
            <w:tcW w:w="313" w:type="dxa"/>
            <w:tcBorders/>
            <w:vAlign w:val="center"/>
          </w:tcPr>
          <w:p>
            <w:pPr>
              <w:pStyle w:val="TableContents"/>
              <w:bidi w:val="0"/>
              <w:spacing w:lineRule="auto" w:line="285" w:before="0" w:after="0"/>
              <w:ind w:left="0" w:right="0" w:hanging="0"/>
              <w:jc w:val="center"/>
              <w:rPr/>
            </w:pPr>
            <w:r>
              <w:rPr/>
              <w:t>​</w:t>
            </w:r>
          </w:p>
        </w:tc>
        <w:tc>
          <w:tcPr>
            <w:tcW w:w="77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center"/>
              <w:rPr/>
            </w:pPr>
            <w:r>
              <w:rPr/>
              <w:t>​</w:t>
            </w:r>
          </w:p>
        </w:tc>
        <w:tc>
          <w:tcPr>
            <w:tcW w:w="86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(1,220)</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(1,172)</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0"/>
              <w:ind w:left="0" w:right="0" w:hanging="0"/>
              <w:jc w:val="center"/>
              <w:rPr/>
            </w:pPr>
            <w:r>
              <w:rPr/>
              <w:t>​</w:t>
            </w:r>
          </w:p>
        </w:tc>
        <w:tc>
          <w:tcPr>
            <w:tcW w:w="78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(5,790)</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3,281</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(2,509)</w:t>
            </w:r>
          </w:p>
        </w:tc>
      </w:tr>
      <w:tr>
        <w:trPr/>
        <w:tc>
          <w:tcPr>
            <w:tcW w:w="2904"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777"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shd w:fill="CCEEFF" w:val="clear"/>
            <w:vAlign w:val="center"/>
          </w:tcPr>
          <w:p>
            <w:pPr>
              <w:pStyle w:val="TableContents"/>
              <w:bidi w:val="0"/>
              <w:spacing w:lineRule="auto" w:line="285" w:before="0" w:after="0"/>
              <w:ind w:left="0" w:right="0" w:hanging="0"/>
              <w:jc w:val="center"/>
              <w:rPr/>
            </w:pPr>
            <w:r>
              <w:rPr/>
              <w:t>​</w:t>
            </w:r>
          </w:p>
        </w:tc>
        <w:tc>
          <w:tcPr>
            <w:tcW w:w="787" w:type="dxa"/>
            <w:tcBorders/>
            <w:shd w:fill="CCEEFF" w:val="clear"/>
            <w:vAlign w:val="center"/>
          </w:tcPr>
          <w:p>
            <w:pPr>
              <w:pStyle w:val="TableContents"/>
              <w:bidi w:val="0"/>
              <w:spacing w:lineRule="auto" w:line="285" w:before="0" w:after="0"/>
              <w:ind w:left="0" w:right="0" w:hanging="0"/>
              <w:jc w:val="righ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889" w:type="dxa"/>
            <w:tcBorders/>
            <w:shd w:fill="CCEEFF" w:val="clear"/>
            <w:vAlign w:val="center"/>
          </w:tcPr>
          <w:p>
            <w:pPr>
              <w:pStyle w:val="TableContents"/>
              <w:bidi w:val="0"/>
              <w:spacing w:lineRule="auto" w:line="285" w:before="0" w:after="0"/>
              <w:ind w:left="0" w:right="0" w:hanging="0"/>
              <w:jc w:val="righ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7" w:type="dxa"/>
            <w:tcBorders/>
            <w:shd w:fill="CCEEFF" w:val="clear"/>
            <w:vAlign w:val="center"/>
          </w:tcPr>
          <w:p>
            <w:pPr>
              <w:pStyle w:val="TableContents"/>
              <w:bidi w:val="0"/>
              <w:spacing w:lineRule="auto" w:line="285" w:before="0" w:after="0"/>
              <w:ind w:left="0" w:right="0" w:hanging="0"/>
              <w:jc w:val="right"/>
              <w:rPr/>
            </w:pPr>
            <w:r>
              <w:rPr/>
              <w:t>​</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13" w:type="dxa"/>
            <w:tcBorders/>
            <w:vAlign w:val="center"/>
          </w:tcPr>
          <w:p>
            <w:pPr>
              <w:pStyle w:val="TableContents"/>
              <w:bidi w:val="0"/>
              <w:spacing w:lineRule="auto" w:line="285" w:before="0" w:after="0"/>
              <w:ind w:left="0" w:right="0" w:hanging="0"/>
              <w:jc w:val="center"/>
              <w:rPr/>
            </w:pPr>
            <w:r>
              <w:rPr/>
              <w:t>​</w:t>
            </w:r>
          </w:p>
        </w:tc>
        <w:tc>
          <w:tcPr>
            <w:tcW w:w="777" w:type="dxa"/>
            <w:tcBorders/>
            <w:vAlign w:val="center"/>
          </w:tcPr>
          <w:p>
            <w:pPr>
              <w:pStyle w:val="TableContents"/>
              <w:bidi w:val="0"/>
              <w:spacing w:lineRule="auto" w:line="285" w:before="0" w:after="0"/>
              <w:ind w:left="0" w:right="0" w:hanging="0"/>
              <w:jc w:val="righ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center"/>
              <w:rPr/>
            </w:pPr>
            <w:r>
              <w:rPr/>
              <w:t>​</w:t>
            </w:r>
          </w:p>
        </w:tc>
        <w:tc>
          <w:tcPr>
            <w:tcW w:w="864" w:type="dxa"/>
            <w:tcBorders/>
            <w:vAlign w:val="center"/>
          </w:tcPr>
          <w:p>
            <w:pPr>
              <w:pStyle w:val="TableContents"/>
              <w:bidi w:val="0"/>
              <w:spacing w:lineRule="auto" w:line="285" w:before="0" w:after="0"/>
              <w:ind w:left="0" w:right="0" w:hanging="0"/>
              <w:jc w:val="righ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0"/>
              <w:ind w:left="0" w:right="0" w:hanging="0"/>
              <w:jc w:val="center"/>
              <w:rPr/>
            </w:pPr>
            <w:r>
              <w:rPr/>
              <w:t>​</w:t>
            </w:r>
          </w:p>
        </w:tc>
        <w:tc>
          <w:tcPr>
            <w:tcW w:w="787" w:type="dxa"/>
            <w:tcBorders/>
            <w:vAlign w:val="center"/>
          </w:tcPr>
          <w:p>
            <w:pPr>
              <w:pStyle w:val="TableContents"/>
              <w:bidi w:val="0"/>
              <w:spacing w:lineRule="auto" w:line="285" w:before="0" w:after="0"/>
              <w:ind w:left="0" w:right="0" w:hanging="0"/>
              <w:jc w:val="right"/>
              <w:rPr/>
            </w:pPr>
            <w:r>
              <w:rPr/>
              <w:t>​</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889" w:type="dxa"/>
            <w:tcBorders/>
            <w:vAlign w:val="center"/>
          </w:tcPr>
          <w:p>
            <w:pPr>
              <w:pStyle w:val="TableContents"/>
              <w:bidi w:val="0"/>
              <w:spacing w:lineRule="auto" w:line="285" w:before="0" w:after="0"/>
              <w:ind w:left="0" w:right="0" w:hanging="0"/>
              <w:jc w:val="right"/>
              <w:rPr/>
            </w:pPr>
            <w:r>
              <w:rPr/>
              <w:t>​</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7" w:type="dxa"/>
            <w:tcBorders/>
            <w:vAlign w:val="center"/>
          </w:tcPr>
          <w:p>
            <w:pPr>
              <w:pStyle w:val="TableContents"/>
              <w:bidi w:val="0"/>
              <w:spacing w:lineRule="auto" w:line="285" w:before="0" w:after="0"/>
              <w:ind w:left="0" w:right="0" w:hanging="0"/>
              <w:jc w:val="right"/>
              <w:rPr/>
            </w:pPr>
            <w:r>
              <w:rPr/>
              <w:t>​</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77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49</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86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shd w:fill="CCEEFF" w:val="clear"/>
            <w:vAlign w:val="center"/>
          </w:tcPr>
          <w:p>
            <w:pPr>
              <w:pStyle w:val="TableContents"/>
              <w:bidi w:val="0"/>
              <w:spacing w:lineRule="auto" w:line="285" w:before="0" w:after="0"/>
              <w:ind w:left="0" w:right="0" w:hanging="0"/>
              <w:jc w:val="center"/>
              <w:rPr/>
            </w:pPr>
            <w:r>
              <w:rPr/>
              <w:t>​</w:t>
            </w:r>
          </w:p>
        </w:tc>
        <w:tc>
          <w:tcPr>
            <w:tcW w:w="78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8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13" w:type="dxa"/>
            <w:tcBorders/>
            <w:vAlign w:val="center"/>
          </w:tcPr>
          <w:p>
            <w:pPr>
              <w:pStyle w:val="TableContents"/>
              <w:bidi w:val="0"/>
              <w:spacing w:lineRule="auto" w:line="285" w:before="0" w:after="0"/>
              <w:ind w:left="0" w:right="0" w:hanging="0"/>
              <w:jc w:val="center"/>
              <w:rPr/>
            </w:pPr>
            <w:r>
              <w:rPr/>
              <w:t>​</w:t>
            </w:r>
          </w:p>
        </w:tc>
        <w:tc>
          <w:tcPr>
            <w:tcW w:w="77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center"/>
              <w:rPr/>
            </w:pPr>
            <w:r>
              <w:rPr/>
              <w:t>​</w:t>
            </w:r>
          </w:p>
        </w:tc>
        <w:tc>
          <w:tcPr>
            <w:tcW w:w="86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0"/>
              <w:ind w:left="0" w:right="0" w:hanging="0"/>
              <w:jc w:val="center"/>
              <w:rPr/>
            </w:pPr>
            <w:r>
              <w:rPr/>
              <w:t>​</w:t>
            </w:r>
          </w:p>
        </w:tc>
        <w:tc>
          <w:tcPr>
            <w:tcW w:w="78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(205)</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7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107</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112</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(loss) before income tax</w:t>
            </w:r>
          </w:p>
        </w:tc>
        <w:tc>
          <w:tcPr>
            <w:tcW w:w="313" w:type="dxa"/>
            <w:tcBorders/>
            <w:vAlign w:val="center"/>
          </w:tcPr>
          <w:p>
            <w:pPr>
              <w:pStyle w:val="TableContents"/>
              <w:bidi w:val="0"/>
              <w:spacing w:lineRule="auto" w:line="285" w:before="0" w:after="0"/>
              <w:ind w:left="0" w:right="0" w:hanging="0"/>
              <w:jc w:val="center"/>
              <w:rPr/>
            </w:pPr>
            <w:r>
              <w:rPr/>
              <w:t>​</w:t>
            </w:r>
          </w:p>
        </w:tc>
        <w:tc>
          <w:tcPr>
            <w:tcW w:w="77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center"/>
              <w:rPr/>
            </w:pPr>
            <w:r>
              <w:rPr/>
              <w:t>​</w:t>
            </w:r>
          </w:p>
        </w:tc>
        <w:tc>
          <w:tcPr>
            <w:tcW w:w="86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(1,213)</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(1,143)</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vAlign w:val="center"/>
          </w:tcPr>
          <w:p>
            <w:pPr>
              <w:pStyle w:val="TableContents"/>
              <w:bidi w:val="0"/>
              <w:spacing w:lineRule="auto" w:line="285" w:before="0" w:after="0"/>
              <w:ind w:left="0" w:right="0" w:hanging="0"/>
              <w:jc w:val="center"/>
              <w:rPr/>
            </w:pPr>
            <w:r>
              <w:rPr/>
              <w:t>​</w:t>
            </w:r>
          </w:p>
        </w:tc>
        <w:tc>
          <w:tcPr>
            <w:tcW w:w="78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(5,777)</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3,273</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center"/>
              <w:rPr/>
            </w:pPr>
            <w:r>
              <w:rPr/>
              <w:t>​</w:t>
            </w:r>
          </w:p>
        </w:tc>
        <w:tc>
          <w:tcPr>
            <w:tcW w:w="84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(2,504)</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7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313"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7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4"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(1,213)</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(1,153)</w:t>
            </w:r>
          </w:p>
        </w:tc>
        <w:tc>
          <w:tcPr>
            <w:tcW w:w="109" w:type="dxa"/>
            <w:tcBorders/>
            <w:vAlign w:val="center"/>
          </w:tcPr>
          <w:p>
            <w:pPr>
              <w:pStyle w:val="TableContents"/>
              <w:bidi w:val="0"/>
              <w:spacing w:lineRule="auto" w:line="285" w:before="0" w:after="0"/>
              <w:ind w:left="0" w:right="0" w:hanging="0"/>
              <w:jc w:val="right"/>
              <w:rPr/>
            </w:pPr>
            <w:r>
              <w:rPr/>
              <w:t>​</w:t>
            </w:r>
          </w:p>
        </w:tc>
        <w:tc>
          <w:tcPr>
            <w:tcW w:w="303"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(5,783)</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89"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3,273</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(2,510)</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777" w:type="dxa"/>
            <w:tcBorders/>
            <w:shd w:fill="CCEEFF" w:val="clear"/>
            <w:vAlign w:val="center"/>
          </w:tcPr>
          <w:p>
            <w:pPr>
              <w:pStyle w:val="TableContents"/>
              <w:bidi w:val="0"/>
              <w:spacing w:lineRule="auto" w:line="285" w:before="0" w:after="0"/>
              <w:ind w:left="0" w:right="0" w:hanging="0"/>
              <w:jc w:val="lef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center"/>
              <w:rPr/>
            </w:pPr>
            <w:r>
              <w:rPr/>
              <w:t>​</w:t>
            </w:r>
          </w:p>
        </w:tc>
        <w:tc>
          <w:tcPr>
            <w:tcW w:w="793"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0" w:after="0"/>
              <w:ind w:left="0" w:right="0" w:hanging="0"/>
              <w:jc w:val="center"/>
              <w:rPr/>
            </w:pPr>
            <w:r>
              <w:rPr/>
              <w:t>​</w:t>
            </w:r>
          </w:p>
        </w:tc>
        <w:tc>
          <w:tcPr>
            <w:tcW w:w="787" w:type="dxa"/>
            <w:tcBorders/>
            <w:shd w:fill="CCEEFF" w:val="clear"/>
            <w:vAlign w:val="center"/>
          </w:tcPr>
          <w:p>
            <w:pPr>
              <w:pStyle w:val="TableContents"/>
              <w:bidi w:val="0"/>
              <w:spacing w:lineRule="auto" w:line="285" w:before="0" w:after="0"/>
              <w:ind w:left="0" w:right="0" w:hanging="0"/>
              <w:jc w:val="lef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center"/>
              <w:rPr/>
            </w:pPr>
            <w:r>
              <w:rPr/>
              <w:t>​</w:t>
            </w:r>
          </w:p>
        </w:tc>
        <w:tc>
          <w:tcPr>
            <w:tcW w:w="889" w:type="dxa"/>
            <w:tcBorders/>
            <w:shd w:fill="CCEEFF" w:val="clear"/>
            <w:vAlign w:val="center"/>
          </w:tcPr>
          <w:p>
            <w:pPr>
              <w:pStyle w:val="TableContents"/>
              <w:bidi w:val="0"/>
              <w:spacing w:lineRule="auto" w:line="285" w:before="0" w:after="0"/>
              <w:ind w:left="0" w:right="0" w:hanging="0"/>
              <w:jc w:val="righ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center"/>
              <w:rPr/>
            </w:pPr>
            <w:r>
              <w:rPr/>
              <w:t>​</w:t>
            </w:r>
          </w:p>
        </w:tc>
        <w:tc>
          <w:tcPr>
            <w:tcW w:w="847" w:type="dxa"/>
            <w:tcBorders/>
            <w:shd w:fill="CCEEFF" w:val="clear"/>
            <w:vAlign w:val="center"/>
          </w:tcPr>
          <w:p>
            <w:pPr>
              <w:pStyle w:val="TableContents"/>
              <w:bidi w:val="0"/>
              <w:spacing w:lineRule="auto" w:line="285" w:before="0" w:after="0"/>
              <w:ind w:left="0" w:right="0" w:hanging="0"/>
              <w:jc w:val="left"/>
              <w:rPr/>
            </w:pPr>
            <w:r>
              <w:rPr/>
              <w:t>​</w:t>
            </w:r>
          </w:p>
        </w:tc>
      </w:tr>
      <w:tr>
        <w:trPr/>
        <w:tc>
          <w:tcPr>
            <w:tcW w:w="290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Net unrealized (loss) income on foreign exchange rate translation</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7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376</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4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376</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Comprehensive income (loss)</w:t>
            </w:r>
          </w:p>
        </w:tc>
        <w:tc>
          <w:tcPr>
            <w:tcW w:w="3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7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(1,284)</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(5,783)</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3,649</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(2,134)</w:t>
            </w:r>
          </w:p>
        </w:tc>
      </w:tr>
      <w:tr>
        <w:trPr/>
        <w:tc>
          <w:tcPr>
            <w:tcW w:w="2904" w:type="dxa"/>
            <w:tcBorders/>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7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 w:type="dxa"/>
            <w:tcBorders/>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90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EBITDA</w:t>
            </w:r>
          </w:p>
        </w:tc>
        <w:tc>
          <w:tcPr>
            <w:tcW w:w="3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7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1,241</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(1,023)</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218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(2,465)</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3,862</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7"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18"/>
              </w:rPr>
            </w:pPr>
            <w:r>
              <w:rPr>
                <w:rFonts w:ascii="Times New Roman;Times;serif" w:hAnsi="Times New Roman;Times;serif"/>
                <w:sz w:val="18"/>
              </w:rPr>
              <w:t>1,397</w:t>
            </w:r>
          </w:p>
        </w:tc>
      </w:tr>
    </w:tbl>
    <w:p>
      <w:pPr>
        <w:pStyle w:val="TextBody"/>
        <w:bidi w:val="0"/>
        <w:spacing w:lineRule="auto" w:line="314" w:before="0" w:after="12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901"/>
        <w:gridCol w:w="305"/>
        <w:gridCol w:w="784"/>
        <w:gridCol w:w="113"/>
        <w:gridCol w:w="336"/>
        <w:gridCol w:w="865"/>
        <w:gridCol w:w="113"/>
        <w:gridCol w:w="259"/>
        <w:gridCol w:w="793"/>
        <w:gridCol w:w="109"/>
        <w:gridCol w:w="307"/>
        <w:gridCol w:w="782"/>
        <w:gridCol w:w="114"/>
        <w:gridCol w:w="339"/>
        <w:gridCol w:w="863"/>
        <w:gridCol w:w="114"/>
        <w:gridCol w:w="260"/>
        <w:gridCol w:w="848"/>
      </w:tblGrid>
      <w:tr>
        <w:trPr/>
        <w:tc>
          <w:tcPr>
            <w:tcW w:w="2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42135" cy="175260"/>
                      <wp:effectExtent l="0" t="0" r="0" b="0"/>
                      <wp:wrapNone/>
                      <wp:docPr id="88" name="Frame88"/>
                      <a:graphic xmlns:a="http://schemas.openxmlformats.org/drawingml/2006/main">
                        <a:graphicData uri="http://schemas.microsoft.com/office/word/2010/wordprocessingShape">
                          <wps:wsp>
                            <wps:cNvSpPr txBox="1"/>
                            <wps:spPr>
                              <a:xfrm>
                                <a:off x="0" y="0"/>
                                <a:ext cx="184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93675" cy="175260"/>
                      <wp:effectExtent l="0" t="0" r="0" b="0"/>
                      <wp:wrapNone/>
                      <wp:docPr id="89" name="Frame8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7840" cy="175260"/>
                      <wp:effectExtent l="0" t="0" r="0" b="0"/>
                      <wp:wrapNone/>
                      <wp:docPr id="90" name="Frame9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1755" cy="175260"/>
                      <wp:effectExtent l="0" t="0" r="0" b="0"/>
                      <wp:wrapNone/>
                      <wp:docPr id="91" name="Frame91"/>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3360" cy="175260"/>
                      <wp:effectExtent l="0" t="0" r="0" b="0"/>
                      <wp:wrapNone/>
                      <wp:docPr id="92" name="Frame9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49275" cy="175260"/>
                      <wp:effectExtent l="0" t="0" r="0" b="0"/>
                      <wp:wrapNone/>
                      <wp:docPr id="93" name="Frame93"/>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1755" cy="175260"/>
                      <wp:effectExtent l="0" t="0" r="0" b="0"/>
                      <wp:wrapNone/>
                      <wp:docPr id="94" name="Frame94"/>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4465" cy="175260"/>
                      <wp:effectExtent l="0" t="0" r="0" b="0"/>
                      <wp:wrapNone/>
                      <wp:docPr id="95" name="Frame9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03555" cy="175260"/>
                      <wp:effectExtent l="0" t="0" r="0" b="0"/>
                      <wp:wrapNone/>
                      <wp:docPr id="96" name="Frame9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4945" cy="175260"/>
                      <wp:effectExtent l="0" t="0" r="0" b="0"/>
                      <wp:wrapNone/>
                      <wp:docPr id="98" name="Frame9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6570" cy="175260"/>
                      <wp:effectExtent l="0" t="0" r="0" b="0"/>
                      <wp:wrapNone/>
                      <wp:docPr id="99" name="Frame99"/>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2390" cy="175260"/>
                      <wp:effectExtent l="0" t="0" r="0" b="0"/>
                      <wp:wrapNone/>
                      <wp:docPr id="100" name="Frame100"/>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5265" cy="175260"/>
                      <wp:effectExtent l="0" t="0" r="0" b="0"/>
                      <wp:wrapNone/>
                      <wp:docPr id="101" name="Frame10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48005" cy="175260"/>
                      <wp:effectExtent l="0" t="0" r="0" b="0"/>
                      <wp:wrapNone/>
                      <wp:docPr id="102" name="Frame102"/>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2390" cy="175260"/>
                      <wp:effectExtent l="0" t="0" r="0" b="0"/>
                      <wp:wrapNone/>
                      <wp:docPr id="103" name="Frame103"/>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5100" cy="175260"/>
                      <wp:effectExtent l="0" t="0" r="0" b="0"/>
                      <wp:wrapNone/>
                      <wp:docPr id="104" name="Frame10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38480" cy="175260"/>
                      <wp:effectExtent l="0" t="0" r="0" b="0"/>
                      <wp:wrapNone/>
                      <wp:docPr id="105" name="Frame105"/>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01" w:type="dxa"/>
            <w:tcBorders/>
            <w:vAlign w:val="center"/>
          </w:tcPr>
          <w:p>
            <w:pPr>
              <w:pStyle w:val="TableContents"/>
              <w:bidi w:val="0"/>
              <w:spacing w:lineRule="auto" w:line="285" w:before="0" w:after="0"/>
              <w:ind w:left="0" w:right="0" w:hanging="0"/>
              <w:jc w:val="left"/>
              <w:rPr/>
            </w:pPr>
            <w:r>
              <w:rPr/>
              <w:t>​</w:t>
            </w:r>
          </w:p>
        </w:tc>
        <w:tc>
          <w:tcPr>
            <w:tcW w:w="3568"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c>
          <w:tcPr>
            <w:tcW w:w="109" w:type="dxa"/>
            <w:tcBorders/>
            <w:vAlign w:val="center"/>
          </w:tcPr>
          <w:p>
            <w:pPr>
              <w:pStyle w:val="TableContents"/>
              <w:bidi w:val="0"/>
              <w:spacing w:lineRule="auto" w:line="285" w:before="0" w:after="0"/>
              <w:ind w:left="0" w:right="0" w:hanging="0"/>
              <w:jc w:val="center"/>
              <w:rPr/>
            </w:pPr>
            <w:r>
              <w:rPr/>
              <w:t>​</w:t>
            </w:r>
          </w:p>
        </w:tc>
        <w:tc>
          <w:tcPr>
            <w:tcW w:w="3627"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2901" w:type="dxa"/>
            <w:tcBorders/>
            <w:vAlign w:val="center"/>
          </w:tcPr>
          <w:p>
            <w:pPr>
              <w:pStyle w:val="TableContents"/>
              <w:bidi w:val="0"/>
              <w:spacing w:lineRule="auto" w:line="285" w:before="0" w:after="0"/>
              <w:ind w:left="0" w:right="0" w:hanging="0"/>
              <w:jc w:val="left"/>
              <w:rPr/>
            </w:pPr>
            <w:r>
              <w:rPr/>
              <w:t>​</w:t>
            </w:r>
          </w:p>
        </w:tc>
        <w:tc>
          <w:tcPr>
            <w:tcW w:w="108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3" w:type="dxa"/>
            <w:tcBorders/>
            <w:vAlign w:val="center"/>
          </w:tcPr>
          <w:p>
            <w:pPr>
              <w:pStyle w:val="TableContents"/>
              <w:bidi w:val="0"/>
              <w:spacing w:lineRule="auto" w:line="285"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3" w:type="dxa"/>
            <w:tcBorders/>
            <w:vAlign w:val="center"/>
          </w:tcPr>
          <w:p>
            <w:pPr>
              <w:pStyle w:val="TableContents"/>
              <w:bidi w:val="0"/>
              <w:spacing w:lineRule="auto" w:line="285"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08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4" w:type="dxa"/>
            <w:tcBorders/>
            <w:vAlign w:val="center"/>
          </w:tcPr>
          <w:p>
            <w:pPr>
              <w:pStyle w:val="TableContents"/>
              <w:bidi w:val="0"/>
              <w:spacing w:lineRule="auto" w:line="285" w:before="0" w:after="0"/>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4" w:type="dxa"/>
            <w:tcBorders/>
            <w:vAlign w:val="center"/>
          </w:tcPr>
          <w:p>
            <w:pPr>
              <w:pStyle w:val="TableContents"/>
              <w:bidi w:val="0"/>
              <w:spacing w:lineRule="auto" w:line="285" w:before="0" w:after="0"/>
              <w:ind w:left="0" w:right="0" w:hanging="0"/>
              <w:jc w:val="center"/>
              <w:rPr/>
            </w:pPr>
            <w:r>
              <w:rPr/>
              <w:t>​</w:t>
            </w:r>
          </w:p>
        </w:tc>
        <w:tc>
          <w:tcPr>
            <w:tcW w:w="110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05" w:type="dxa"/>
            <w:tcBorders/>
            <w:shd w:fill="CCEEFF" w:val="clear"/>
            <w:vAlign w:val="center"/>
          </w:tcPr>
          <w:p>
            <w:pPr>
              <w:pStyle w:val="TableContents"/>
              <w:bidi w:val="0"/>
              <w:spacing w:lineRule="auto" w:line="285" w:before="0" w:after="0"/>
              <w:ind w:left="0" w:right="0" w:hanging="0"/>
              <w:jc w:val="center"/>
              <w:rPr/>
            </w:pPr>
            <w:r>
              <w:rPr/>
              <w:t>​</w:t>
            </w:r>
          </w:p>
        </w:tc>
        <w:tc>
          <w:tcPr>
            <w:tcW w:w="784" w:type="dxa"/>
            <w:tcBorders/>
            <w:shd w:fill="CCEEFF" w:val="clear"/>
            <w:vAlign w:val="center"/>
          </w:tcPr>
          <w:p>
            <w:pPr>
              <w:pStyle w:val="TableContents"/>
              <w:bidi w:val="0"/>
              <w:spacing w:lineRule="auto" w:line="285" w:before="0" w:after="0"/>
              <w:ind w:left="0" w:right="0" w:hanging="0"/>
              <w:jc w:val="center"/>
              <w:rPr/>
            </w:pPr>
            <w:r>
              <w:rPr/>
              <w:t>​</w:t>
            </w:r>
          </w:p>
        </w:tc>
        <w:tc>
          <w:tcPr>
            <w:tcW w:w="113" w:type="dxa"/>
            <w:tcBorders/>
            <w:shd w:fill="CCEEFF" w:val="clear"/>
            <w:vAlign w:val="center"/>
          </w:tcPr>
          <w:p>
            <w:pPr>
              <w:pStyle w:val="TableContents"/>
              <w:bidi w:val="0"/>
              <w:spacing w:lineRule="auto" w:line="285" w:before="0" w:after="0"/>
              <w:ind w:left="0" w:right="0" w:hanging="0"/>
              <w:jc w:val="center"/>
              <w:rPr/>
            </w:pPr>
            <w:r>
              <w:rPr/>
              <w:t>​</w:t>
            </w:r>
          </w:p>
        </w:tc>
        <w:tc>
          <w:tcPr>
            <w:tcW w:w="336" w:type="dxa"/>
            <w:tcBorders/>
            <w:shd w:fill="CCEEFF" w:val="clear"/>
            <w:vAlign w:val="center"/>
          </w:tcPr>
          <w:p>
            <w:pPr>
              <w:pStyle w:val="TableContents"/>
              <w:bidi w:val="0"/>
              <w:spacing w:lineRule="auto" w:line="285" w:before="0" w:after="0"/>
              <w:ind w:left="0" w:right="0" w:hanging="0"/>
              <w:jc w:val="center"/>
              <w:rPr/>
            </w:pPr>
            <w:r>
              <w:rPr/>
              <w:t>​</w:t>
            </w:r>
          </w:p>
        </w:tc>
        <w:tc>
          <w:tcPr>
            <w:tcW w:w="865" w:type="dxa"/>
            <w:tcBorders/>
            <w:shd w:fill="CCEEFF" w:val="clear"/>
            <w:vAlign w:val="center"/>
          </w:tcPr>
          <w:p>
            <w:pPr>
              <w:pStyle w:val="TableContents"/>
              <w:bidi w:val="0"/>
              <w:spacing w:lineRule="auto" w:line="285" w:before="0" w:after="0"/>
              <w:ind w:left="0" w:right="0" w:hanging="0"/>
              <w:jc w:val="center"/>
              <w:rPr/>
            </w:pPr>
            <w:r>
              <w:rPr/>
              <w:t>​</w:t>
            </w:r>
          </w:p>
        </w:tc>
        <w:tc>
          <w:tcPr>
            <w:tcW w:w="113" w:type="dxa"/>
            <w:tcBorders/>
            <w:shd w:fill="CCEEFF" w:val="clear"/>
            <w:vAlign w:val="center"/>
          </w:tcPr>
          <w:p>
            <w:pPr>
              <w:pStyle w:val="TableContents"/>
              <w:bidi w:val="0"/>
              <w:spacing w:lineRule="auto" w:line="285" w:before="0" w:after="0"/>
              <w:ind w:left="0" w:right="0" w:hanging="0"/>
              <w:jc w:val="center"/>
              <w:rPr/>
            </w:pPr>
            <w:r>
              <w:rPr/>
              <w:t>​</w:t>
            </w:r>
          </w:p>
        </w:tc>
        <w:tc>
          <w:tcPr>
            <w:tcW w:w="259"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center"/>
              <w:rPr/>
            </w:pPr>
            <w:r>
              <w:rPr/>
              <w:t>​</w:t>
            </w:r>
          </w:p>
        </w:tc>
        <w:tc>
          <w:tcPr>
            <w:tcW w:w="782" w:type="dxa"/>
            <w:tcBorders/>
            <w:shd w:fill="CCEEFF" w:val="clear"/>
            <w:vAlign w:val="center"/>
          </w:tcPr>
          <w:p>
            <w:pPr>
              <w:pStyle w:val="TableContents"/>
              <w:bidi w:val="0"/>
              <w:spacing w:lineRule="auto" w:line="285" w:before="0" w:after="0"/>
              <w:ind w:left="0" w:right="0" w:hanging="0"/>
              <w:jc w:val="center"/>
              <w:rPr/>
            </w:pPr>
            <w:r>
              <w:rPr/>
              <w:t>​</w:t>
            </w:r>
          </w:p>
        </w:tc>
        <w:tc>
          <w:tcPr>
            <w:tcW w:w="114" w:type="dxa"/>
            <w:tcBorders/>
            <w:shd w:fill="CCEEFF" w:val="clear"/>
            <w:vAlign w:val="center"/>
          </w:tcPr>
          <w:p>
            <w:pPr>
              <w:pStyle w:val="TableContents"/>
              <w:bidi w:val="0"/>
              <w:spacing w:lineRule="auto" w:line="285" w:before="0" w:after="0"/>
              <w:ind w:left="0" w:right="0" w:hanging="0"/>
              <w:jc w:val="center"/>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863" w:type="dxa"/>
            <w:tcBorders/>
            <w:shd w:fill="CCEEFF" w:val="clear"/>
            <w:vAlign w:val="center"/>
          </w:tcPr>
          <w:p>
            <w:pPr>
              <w:pStyle w:val="TableContents"/>
              <w:bidi w:val="0"/>
              <w:spacing w:lineRule="auto" w:line="285" w:before="0" w:after="0"/>
              <w:ind w:left="0" w:right="0" w:hanging="0"/>
              <w:jc w:val="center"/>
              <w:rPr/>
            </w:pPr>
            <w:r>
              <w:rPr/>
              <w:t>​</w:t>
            </w:r>
          </w:p>
        </w:tc>
        <w:tc>
          <w:tcPr>
            <w:tcW w:w="114" w:type="dxa"/>
            <w:tcBorders/>
            <w:shd w:fill="CCEEFF" w:val="clear"/>
            <w:vAlign w:val="center"/>
          </w:tcPr>
          <w:p>
            <w:pPr>
              <w:pStyle w:val="TableContents"/>
              <w:bidi w:val="0"/>
              <w:spacing w:lineRule="auto" w:line="285" w:before="0" w:after="0"/>
              <w:ind w:left="0" w:right="0" w:hanging="0"/>
              <w:jc w:val="center"/>
              <w:rPr/>
            </w:pPr>
            <w:r>
              <w:rPr/>
              <w:t>​</w:t>
            </w:r>
          </w:p>
        </w:tc>
        <w:tc>
          <w:tcPr>
            <w:tcW w:w="260"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4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05"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4,652</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5"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4,663</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31,260</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8,467</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39,727</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9,758</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9,758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18,753</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18,790</w:t>
            </w:r>
          </w:p>
        </w:tc>
      </w:tr>
      <w:tr>
        <w:trPr/>
        <w:tc>
          <w:tcPr>
            <w:tcW w:w="2901" w:type="dxa"/>
            <w:tcBorders/>
            <w:vAlign w:val="center"/>
          </w:tcPr>
          <w:p>
            <w:pPr>
              <w:pStyle w:val="TableContents"/>
              <w:bidi w:val="0"/>
              <w:spacing w:lineRule="auto" w:line="285" w:before="0" w:after="0"/>
              <w:ind w:left="0" w:right="0" w:hanging="0"/>
              <w:jc w:val="left"/>
              <w:rPr/>
            </w:pPr>
            <w:r>
              <w:rPr/>
              <w:t>​</w:t>
            </w:r>
          </w:p>
        </w:tc>
        <w:tc>
          <w:tcPr>
            <w:tcW w:w="305" w:type="dxa"/>
            <w:tcBorders/>
            <w:vAlign w:val="center"/>
          </w:tcPr>
          <w:p>
            <w:pPr>
              <w:pStyle w:val="TableContents"/>
              <w:bidi w:val="0"/>
              <w:spacing w:lineRule="auto" w:line="285" w:before="0" w:after="0"/>
              <w:ind w:left="0" w:right="0" w:hanging="0"/>
              <w:jc w:val="left"/>
              <w:rPr/>
            </w:pPr>
            <w:r>
              <w:rPr/>
              <w:t>​</w:t>
            </w:r>
          </w:p>
        </w:tc>
        <w:tc>
          <w:tcPr>
            <w:tcW w:w="78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14,410</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14,421</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0"/>
              <w:ind w:left="0" w:right="0" w:hanging="0"/>
              <w:jc w:val="left"/>
              <w:rPr/>
            </w:pPr>
            <w:r>
              <w:rPr/>
              <w:t>​</w:t>
            </w:r>
          </w:p>
        </w:tc>
        <w:tc>
          <w:tcPr>
            <w:tcW w:w="78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50,013</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8,504</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58,517</w:t>
            </w:r>
          </w:p>
        </w:tc>
      </w:tr>
      <w:tr>
        <w:trPr/>
        <w:tc>
          <w:tcPr>
            <w:tcW w:w="2901"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lef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left"/>
              <w:rPr/>
            </w:pPr>
            <w:r>
              <w:rPr/>
              <w:t>​</w:t>
            </w:r>
          </w:p>
        </w:tc>
        <w:tc>
          <w:tcPr>
            <w:tcW w:w="782" w:type="dxa"/>
            <w:tcBorders/>
            <w:shd w:fill="CCEEFF" w:val="clear"/>
            <w:vAlign w:val="center"/>
          </w:tcPr>
          <w:p>
            <w:pPr>
              <w:pStyle w:val="TableContents"/>
              <w:bidi w:val="0"/>
              <w:spacing w:lineRule="auto" w:line="285" w:before="0" w:after="0"/>
              <w:ind w:left="0" w:right="0" w:hanging="0"/>
              <w:jc w:val="lef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0"/>
              <w:ind w:left="0" w:right="0" w:hanging="0"/>
              <w:jc w:val="lef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pPr>
            <w:r>
              <w:rPr/>
              <w:t>​</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05"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0"/>
              <w:ind w:left="0" w:right="0" w:hanging="0"/>
              <w:jc w:val="lef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0"/>
              <w:ind w:left="0" w:right="0" w:hanging="0"/>
              <w:jc w:val="lef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0"/>
              <w:ind w:left="0" w:right="0" w:hanging="0"/>
              <w:jc w:val="center"/>
              <w:rPr/>
            </w:pPr>
            <w:r>
              <w:rPr/>
              <w:t>​</w:t>
            </w:r>
          </w:p>
        </w:tc>
        <w:tc>
          <w:tcPr>
            <w:tcW w:w="782"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center"/>
              <w:rPr/>
            </w:pPr>
            <w:r>
              <w:rPr/>
              <w:t>​</w:t>
            </w:r>
          </w:p>
        </w:tc>
        <w:tc>
          <w:tcPr>
            <w:tcW w:w="863" w:type="dxa"/>
            <w:tcBorders/>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pPr>
            <w:r>
              <w:rPr/>
              <w:t>​</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05" w:type="dxa"/>
            <w:tcBorders/>
            <w:shd w:fill="CCEEFF" w:val="clear"/>
            <w:vAlign w:val="center"/>
          </w:tcPr>
          <w:p>
            <w:pPr>
              <w:pStyle w:val="TableContents"/>
              <w:bidi w:val="0"/>
              <w:spacing w:lineRule="auto" w:line="285" w:before="0" w:after="0"/>
              <w:ind w:left="0" w:right="0" w:hanging="0"/>
              <w:jc w:val="center"/>
              <w:rPr/>
            </w:pPr>
            <w:r>
              <w:rPr/>
              <w:t>​</w:t>
            </w:r>
          </w:p>
        </w:tc>
        <w:tc>
          <w:tcPr>
            <w:tcW w:w="78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5,652</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center"/>
              <w:rPr/>
            </w:pPr>
            <w:r>
              <w:rPr/>
              <w:t>​</w:t>
            </w:r>
          </w:p>
        </w:tc>
        <w:tc>
          <w:tcPr>
            <w:tcW w:w="86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741</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6,393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center"/>
              <w:rPr/>
            </w:pPr>
            <w:r>
              <w:rPr/>
              <w:t>​</w:t>
            </w:r>
          </w:p>
        </w:tc>
        <w:tc>
          <w:tcPr>
            <w:tcW w:w="78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26,193</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5,519</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31,712</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9,758</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9,758</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18,753</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18,790</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05" w:type="dxa"/>
            <w:tcBorders/>
            <w:shd w:fill="CCEEFF" w:val="clear"/>
            <w:vAlign w:val="center"/>
          </w:tcPr>
          <w:p>
            <w:pPr>
              <w:pStyle w:val="TableContents"/>
              <w:bidi w:val="0"/>
              <w:spacing w:lineRule="auto" w:line="285" w:before="0" w:after="0"/>
              <w:ind w:left="0" w:right="0" w:hanging="0"/>
              <w:jc w:val="left"/>
              <w:rPr/>
            </w:pPr>
            <w:r>
              <w:rPr/>
              <w:t>​</w:t>
            </w:r>
          </w:p>
        </w:tc>
        <w:tc>
          <w:tcPr>
            <w:tcW w:w="78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15,410</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741</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16,151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left"/>
              <w:rPr/>
            </w:pPr>
            <w:r>
              <w:rPr/>
              <w:t>​</w:t>
            </w:r>
          </w:p>
        </w:tc>
        <w:tc>
          <w:tcPr>
            <w:tcW w:w="78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44,946</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5,556</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50,502</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05"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2,405</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2,630</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0"/>
              <w:ind w:left="0" w:right="0" w:hanging="0"/>
              <w:jc w:val="center"/>
              <w:rPr/>
            </w:pPr>
            <w:r>
              <w:rPr/>
              <w:t>​</w:t>
            </w:r>
          </w:p>
        </w:tc>
        <w:tc>
          <w:tcPr>
            <w:tcW w:w="78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6,416</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center"/>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931</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7,347</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1,144</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244</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1,388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3,611</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772</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4,383</w:t>
            </w:r>
          </w:p>
        </w:tc>
      </w:tr>
      <w:tr>
        <w:trPr/>
        <w:tc>
          <w:tcPr>
            <w:tcW w:w="2901" w:type="dxa"/>
            <w:tcBorders/>
            <w:vAlign w:val="center"/>
          </w:tcPr>
          <w:p>
            <w:pPr>
              <w:pStyle w:val="TableContents"/>
              <w:bidi w:val="0"/>
              <w:spacing w:lineRule="auto" w:line="285"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8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18,959</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1,210</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20,169</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8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54,973</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7,259</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62,232</w:t>
            </w:r>
          </w:p>
        </w:tc>
      </w:tr>
      <w:tr>
        <w:trPr/>
        <w:tc>
          <w:tcPr>
            <w:tcW w:w="2901"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0"/>
              <w:ind w:left="0" w:right="0" w:hanging="0"/>
              <w:jc w:val="center"/>
              <w:rPr/>
            </w:pPr>
            <w:r>
              <w:rPr/>
              <w:t>​</w:t>
            </w:r>
          </w:p>
        </w:tc>
        <w:tc>
          <w:tcPr>
            <w:tcW w:w="784" w:type="dxa"/>
            <w:tcBorders/>
            <w:shd w:fill="CCEEFF" w:val="clear"/>
            <w:vAlign w:val="center"/>
          </w:tcPr>
          <w:p>
            <w:pPr>
              <w:pStyle w:val="TableContents"/>
              <w:bidi w:val="0"/>
              <w:spacing w:lineRule="auto" w:line="285" w:before="0" w:after="0"/>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center"/>
              <w:rPr/>
            </w:pPr>
            <w:r>
              <w:rPr/>
              <w:t>​</w:t>
            </w:r>
          </w:p>
        </w:tc>
        <w:tc>
          <w:tcPr>
            <w:tcW w:w="865" w:type="dxa"/>
            <w:tcBorders/>
            <w:shd w:fill="CCEEFF" w:val="clear"/>
            <w:vAlign w:val="center"/>
          </w:tcPr>
          <w:p>
            <w:pPr>
              <w:pStyle w:val="TableContents"/>
              <w:bidi w:val="0"/>
              <w:spacing w:lineRule="auto" w:line="285" w:before="0" w:after="0"/>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center"/>
              <w:rPr/>
            </w:pPr>
            <w:r>
              <w:rPr/>
              <w:t>​</w:t>
            </w:r>
          </w:p>
        </w:tc>
        <w:tc>
          <w:tcPr>
            <w:tcW w:w="782"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863"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pPr>
            <w:r>
              <w:rPr/>
              <w:t>​</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305"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(4,549)</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(1,199)</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(5,748)</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0"/>
              <w:ind w:left="0" w:right="0" w:hanging="0"/>
              <w:jc w:val="center"/>
              <w:rPr/>
            </w:pPr>
            <w:r>
              <w:rPr/>
              <w:t>​</w:t>
            </w:r>
          </w:p>
        </w:tc>
        <w:tc>
          <w:tcPr>
            <w:tcW w:w="78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(4,960)</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center"/>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1,245</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(3,715)</w:t>
            </w:r>
          </w:p>
        </w:tc>
      </w:tr>
      <w:tr>
        <w:trPr/>
        <w:tc>
          <w:tcPr>
            <w:tcW w:w="2901"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0"/>
              <w:ind w:left="0" w:right="0" w:hanging="0"/>
              <w:jc w:val="center"/>
              <w:rPr/>
            </w:pPr>
            <w:r>
              <w:rPr/>
              <w:t>​</w:t>
            </w:r>
          </w:p>
        </w:tc>
        <w:tc>
          <w:tcPr>
            <w:tcW w:w="784" w:type="dxa"/>
            <w:tcBorders/>
            <w:shd w:fill="CCEEFF" w:val="clear"/>
            <w:vAlign w:val="center"/>
          </w:tcPr>
          <w:p>
            <w:pPr>
              <w:pStyle w:val="TableContents"/>
              <w:bidi w:val="0"/>
              <w:spacing w:lineRule="auto" w:line="285" w:before="0" w:after="0"/>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center"/>
              <w:rPr/>
            </w:pPr>
            <w:r>
              <w:rPr/>
              <w:t>​</w:t>
            </w:r>
          </w:p>
        </w:tc>
        <w:tc>
          <w:tcPr>
            <w:tcW w:w="865" w:type="dxa"/>
            <w:tcBorders/>
            <w:shd w:fill="CCEEFF" w:val="clear"/>
            <w:vAlign w:val="center"/>
          </w:tcPr>
          <w:p>
            <w:pPr>
              <w:pStyle w:val="TableContents"/>
              <w:bidi w:val="0"/>
              <w:spacing w:lineRule="auto" w:line="285" w:before="0" w:after="0"/>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center"/>
              <w:rPr/>
            </w:pPr>
            <w:r>
              <w:rPr/>
              <w:t>​</w:t>
            </w:r>
          </w:p>
        </w:tc>
        <w:tc>
          <w:tcPr>
            <w:tcW w:w="782"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863"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pPr>
            <w:r>
              <w:rPr/>
              <w:t>​</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05"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0"/>
              <w:ind w:left="0" w:right="0" w:hanging="0"/>
              <w:jc w:val="righ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0"/>
              <w:ind w:left="0" w:right="0" w:hanging="0"/>
              <w:jc w:val="righ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0"/>
              <w:ind w:left="0" w:right="0" w:hanging="0"/>
              <w:jc w:val="center"/>
              <w:rPr/>
            </w:pPr>
            <w:r>
              <w:rPr/>
              <w:t>​</w:t>
            </w:r>
          </w:p>
        </w:tc>
        <w:tc>
          <w:tcPr>
            <w:tcW w:w="782" w:type="dxa"/>
            <w:tcBorders/>
            <w:vAlign w:val="center"/>
          </w:tcPr>
          <w:p>
            <w:pPr>
              <w:pStyle w:val="TableContents"/>
              <w:bidi w:val="0"/>
              <w:spacing w:lineRule="auto" w:line="285" w:before="0" w:after="0"/>
              <w:ind w:left="0" w:right="0" w:hanging="0"/>
              <w:jc w:val="righ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center"/>
              <w:rPr/>
            </w:pPr>
            <w:r>
              <w:rPr/>
              <w:t>​</w:t>
            </w:r>
          </w:p>
        </w:tc>
        <w:tc>
          <w:tcPr>
            <w:tcW w:w="863" w:type="dxa"/>
            <w:tcBorders/>
            <w:vAlign w:val="center"/>
          </w:tcPr>
          <w:p>
            <w:pPr>
              <w:pStyle w:val="TableContents"/>
              <w:bidi w:val="0"/>
              <w:spacing w:lineRule="auto" w:line="285" w:before="0" w:after="0"/>
              <w:ind w:left="0" w:right="0" w:hanging="0"/>
              <w:jc w:val="righ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pPr>
            <w:r>
              <w:rPr/>
              <w:t>​</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05" w:type="dxa"/>
            <w:tcBorders/>
            <w:shd w:fill="CCEEFF" w:val="clear"/>
            <w:vAlign w:val="center"/>
          </w:tcPr>
          <w:p>
            <w:pPr>
              <w:pStyle w:val="TableContents"/>
              <w:bidi w:val="0"/>
              <w:spacing w:lineRule="auto" w:line="285" w:before="0" w:after="0"/>
              <w:ind w:left="0" w:right="0" w:hanging="0"/>
              <w:jc w:val="center"/>
              <w:rPr/>
            </w:pPr>
            <w:r>
              <w:rPr/>
              <w:t>​</w:t>
            </w:r>
          </w:p>
        </w:tc>
        <w:tc>
          <w:tcPr>
            <w:tcW w:w="78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center"/>
              <w:rPr/>
            </w:pPr>
            <w:r>
              <w:rPr/>
              <w:t>​</w:t>
            </w:r>
          </w:p>
        </w:tc>
        <w:tc>
          <w:tcPr>
            <w:tcW w:w="86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center"/>
              <w:rPr/>
            </w:pPr>
            <w:r>
              <w:rPr/>
              <w:t>​</w:t>
            </w:r>
          </w:p>
        </w:tc>
        <w:tc>
          <w:tcPr>
            <w:tcW w:w="78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246</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290</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05"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0"/>
              <w:ind w:left="0" w:right="0" w:hanging="0"/>
              <w:jc w:val="center"/>
              <w:rPr/>
            </w:pPr>
            <w:r>
              <w:rPr/>
              <w:t>​</w:t>
            </w:r>
          </w:p>
        </w:tc>
        <w:tc>
          <w:tcPr>
            <w:tcW w:w="78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(89)</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center"/>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(120)</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287</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264</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305"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(4,458)</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(1,194)</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(5,652)</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vAlign w:val="center"/>
          </w:tcPr>
          <w:p>
            <w:pPr>
              <w:pStyle w:val="TableContents"/>
              <w:bidi w:val="0"/>
              <w:spacing w:lineRule="auto" w:line="285" w:before="0" w:after="0"/>
              <w:ind w:left="0" w:right="0" w:hanging="0"/>
              <w:jc w:val="center"/>
              <w:rPr/>
            </w:pPr>
            <w:r>
              <w:rPr/>
              <w:t>​</w:t>
            </w:r>
          </w:p>
        </w:tc>
        <w:tc>
          <w:tcPr>
            <w:tcW w:w="782"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(4,516)</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center"/>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1,235</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center"/>
              <w:rPr/>
            </w:pPr>
            <w:r>
              <w:rPr/>
              <w:t>​</w:t>
            </w:r>
          </w:p>
        </w:tc>
        <w:tc>
          <w:tcPr>
            <w:tcW w:w="848"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(3,281)</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Income tax benefit (expense)</w:t>
            </w:r>
          </w:p>
        </w:tc>
        <w:tc>
          <w:tcPr>
            <w:tcW w:w="3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8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30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4"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(4,423)</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5"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(1,194)</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(5,617)</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(4,552)</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1,235</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8"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(3,317)</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305" w:type="dxa"/>
            <w:tcBorders/>
            <w:shd w:fill="CCEEFF" w:val="clear"/>
            <w:vAlign w:val="center"/>
          </w:tcPr>
          <w:p>
            <w:pPr>
              <w:pStyle w:val="TableContents"/>
              <w:bidi w:val="0"/>
              <w:spacing w:lineRule="auto" w:line="285" w:before="0" w:after="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pPr>
            <w:r>
              <w:rPr/>
              <w:t>​</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07" w:type="dxa"/>
            <w:tcBorders/>
            <w:shd w:fill="CCEEFF" w:val="clear"/>
            <w:vAlign w:val="center"/>
          </w:tcPr>
          <w:p>
            <w:pPr>
              <w:pStyle w:val="TableContents"/>
              <w:bidi w:val="0"/>
              <w:spacing w:lineRule="auto" w:line="285" w:before="0" w:after="0"/>
              <w:ind w:left="0" w:right="0" w:hanging="0"/>
              <w:jc w:val="left"/>
              <w:rPr/>
            </w:pPr>
            <w:r>
              <w:rPr/>
              <w:t>​</w:t>
            </w:r>
          </w:p>
        </w:tc>
        <w:tc>
          <w:tcPr>
            <w:tcW w:w="782"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863" w:type="dxa"/>
            <w:tcBorders/>
            <w:shd w:fill="CCEEFF" w:val="clear"/>
            <w:vAlign w:val="center"/>
          </w:tcPr>
          <w:p>
            <w:pPr>
              <w:pStyle w:val="TableContents"/>
              <w:bidi w:val="0"/>
              <w:spacing w:lineRule="auto" w:line="285" w:before="0" w:after="0"/>
              <w:ind w:left="0" w:right="0" w:hanging="0"/>
              <w:jc w:val="right"/>
              <w:rPr/>
            </w:pPr>
            <w:r>
              <w:rPr/>
              <w:t>​</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pPr>
            <w:r>
              <w:rPr/>
              <w:t>​</w:t>
            </w:r>
          </w:p>
        </w:tc>
      </w:tr>
      <w:tr>
        <w:trPr/>
        <w:tc>
          <w:tcPr>
            <w:tcW w:w="2901"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Net unrealized income (loss) on foreign exchange rate translation</w:t>
            </w:r>
          </w:p>
        </w:tc>
        <w:tc>
          <w:tcPr>
            <w:tcW w:w="3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29</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29</w:t>
            </w:r>
          </w:p>
        </w:tc>
        <w:tc>
          <w:tcPr>
            <w:tcW w:w="109" w:type="dxa"/>
            <w:tcBorders/>
            <w:vAlign w:val="center"/>
          </w:tcPr>
          <w:p>
            <w:pPr>
              <w:pStyle w:val="TableContents"/>
              <w:bidi w:val="0"/>
              <w:spacing w:lineRule="auto" w:line="285" w:before="0" w:after="0"/>
              <w:ind w:left="0" w:right="0" w:hanging="0"/>
              <w:jc w:val="right"/>
              <w:rPr/>
            </w:pPr>
            <w:r>
              <w:rPr/>
              <w:t>​</w:t>
            </w:r>
          </w:p>
        </w:tc>
        <w:tc>
          <w:tcPr>
            <w:tcW w:w="30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(241)</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(241)</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30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(4,423)</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(1,165)</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(5,588)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(4,552)</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994</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(3,558)</w:t>
            </w:r>
          </w:p>
        </w:tc>
      </w:tr>
      <w:tr>
        <w:trPr/>
        <w:tc>
          <w:tcPr>
            <w:tcW w:w="2901" w:type="dxa"/>
            <w:tcBorders/>
            <w:vAlign w:val="center"/>
          </w:tcPr>
          <w:p>
            <w:pPr>
              <w:pStyle w:val="TableContents"/>
              <w:bidi w:val="0"/>
              <w:spacing w:lineRule="auto" w:line="285"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29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EBITDA</w:t>
            </w:r>
          </w:p>
        </w:tc>
        <w:tc>
          <w:tcPr>
            <w:tcW w:w="30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(3,348)</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(953)</w:t>
            </w:r>
          </w:p>
        </w:tc>
        <w:tc>
          <w:tcPr>
            <w:tcW w:w="113"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(4,301)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8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(1,062)</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1,994</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848"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18"/>
              </w:rPr>
            </w:pPr>
            <w:r>
              <w:rPr>
                <w:rFonts w:ascii="Times New Roman;Times;serif" w:hAnsi="Times New Roman;Times;serif"/>
                <w:sz w:val="18"/>
              </w:rPr>
              <w:t>932</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120"/>
        <w:ind w:left="0" w:right="0" w:firstLine="490"/>
        <w:jc w:val="both"/>
        <w:rPr/>
      </w:pPr>
      <w:bookmarkStart w:id="759" w:name="Tc_ROG70q_cQ0evzK9l3yGpcw_7_16"/>
      <w:bookmarkStart w:id="760" w:name="Tc_QxEzXjjcN0CFT2duKdcpCg_7_13"/>
      <w:bookmarkStart w:id="761" w:name="Tc_-ZvQZana80OKXBwljn1YFg_7_10"/>
      <w:bookmarkStart w:id="762" w:name="Tc_If9sW5A5MEOBS-VQMo2cCA_7_7"/>
      <w:bookmarkStart w:id="763" w:name="Tc_ipC4GPsL8k2zz0m5CiJDzg_7_4"/>
      <w:bookmarkStart w:id="764" w:name="Tc_mGMRSHUZnUqUSErAzV53OQ_7_1"/>
      <w:bookmarkStart w:id="765" w:name="Tc_h0QwD-EZjkO9Jyr1rHu62g_7_0"/>
      <w:bookmarkStart w:id="766" w:name="Tc_Vzq388clAUWve7GnzeaZPw_6_14"/>
      <w:bookmarkStart w:id="767" w:name="Tc_Q-xpjvfRbU69oT38BS_lyQ_6_5"/>
      <w:bookmarkStart w:id="768" w:name="Tc_K4T-5_OikkOUmRw-RMKSeQ_6_0"/>
      <w:bookmarkStart w:id="769" w:name="Tc_Kwa2jG2j3UCZdpK1Tzk42A_5_0"/>
      <w:bookmarkStart w:id="770" w:name="Tc_Mge4R1oY70mS9rLv5_9-pw_4_0"/>
      <w:bookmarkStart w:id="771" w:name="Tc_XDMmLtiB_ECN-ESYTPdV7w_3_16"/>
      <w:bookmarkStart w:id="772" w:name="Tc_HVgWIaV9qk-WaIH9NHFsWw_3_13"/>
      <w:bookmarkStart w:id="773" w:name="Tc_jflIEbceKk-xGfAhfAHnfg_3_10"/>
      <w:bookmarkStart w:id="774" w:name="Tc_V8jXAe2dkkOTyQtnGM8iZA_3_7"/>
      <w:bookmarkStart w:id="775" w:name="Tc_iOHxg7en20Sv4wvGrcX_tQ_3_4"/>
      <w:bookmarkStart w:id="776" w:name="Tc_0M9p4yyYn0y2hWyF7uiLig_3_1"/>
      <w:bookmarkStart w:id="777" w:name="Tc_W9wiaOkr3kmiSYNZDOZFgw_3_0"/>
      <w:bookmarkStart w:id="778" w:name="Tc_XQ8IHzEoBUqPcI-HIH7ZqQ_2_16"/>
      <w:bookmarkStart w:id="779" w:name="Tc_abXC3qOzv0WyAXjDa_2uJw_2_13"/>
      <w:bookmarkStart w:id="780" w:name="Tc_WxL40oTTeku31RVv8O-KpA_2_10"/>
      <w:bookmarkStart w:id="781" w:name="Tc_rUFEwfCOFkqvpcoXOAexjQ_2_7"/>
      <w:bookmarkStart w:id="782" w:name="Tc_MrDo6CcCiUS-cHRbndRCXA_2_4"/>
      <w:bookmarkStart w:id="783" w:name="Tc_H4jbSTxXakCMPK7Jz0Q-jQ_2_1"/>
      <w:bookmarkStart w:id="784" w:name="Tc_aN6IwaBrWUSnx-qfdbK2hQ_1_1"/>
      <w:bookmarkStart w:id="785" w:name="_9a03a2a4_269c_435c_b69c_262a50bab619"/>
      <w:bookmarkStart w:id="786" w:name="Tc_PNje9rR0NE-F_NUfKNO9Ew_7_16"/>
      <w:bookmarkStart w:id="787" w:name="Tc_dN87VWWNnkmxz__dlUshRA_7_13"/>
      <w:bookmarkStart w:id="788" w:name="Tc_xPt0ecK61UaNxCrbAB4c2w_7_10"/>
      <w:bookmarkStart w:id="789" w:name="Tc_SXplVGdPBUWgACCsyja5qA_7_7"/>
      <w:bookmarkStart w:id="790" w:name="Tc_t3xYjm3nAkC6PkNkT7PHuw_7_4"/>
      <w:bookmarkStart w:id="791" w:name="Tc_xPxNog4_FEikNxvfjyBNJQ_7_1"/>
      <w:bookmarkStart w:id="792" w:name="Tc_L7VMv5vxVEqGA8yGLnJefw_7_0"/>
      <w:bookmarkStart w:id="793" w:name="Tc_xve7xuyH6kmO1FTsunN20w_6_14"/>
      <w:bookmarkStart w:id="794" w:name="Tc_FU5pXdHmGky735WDx85nsg_6_5"/>
      <w:bookmarkStart w:id="795" w:name="Tc_Y-MqS4OuVEiH9xDhf5PDkg_6_0"/>
      <w:bookmarkStart w:id="796" w:name="Tc_I87OnZQxI0yZ7PONWR6MQQ_5_0"/>
      <w:bookmarkStart w:id="797" w:name="Tc_HdhLrZQ5REO1maos3IeRGw_4_0"/>
      <w:bookmarkStart w:id="798" w:name="Tc_bQAmTZDHCUm7u8Zhb2VAlA_3_16"/>
      <w:bookmarkStart w:id="799" w:name="Tc_ItieT6m6EUqVEcXiOasHQQ_3_13"/>
      <w:bookmarkStart w:id="800" w:name="Tc_UdfCCqMNd0qW2q6rtGsKgQ_3_10"/>
      <w:bookmarkStart w:id="801" w:name="Tc_QDPakYZM8Eqxt3edGyQ6sg_3_7"/>
      <w:bookmarkStart w:id="802" w:name="Tc_2eikSjP6ZUqy-IDSQlsv9A_3_4"/>
      <w:bookmarkStart w:id="803" w:name="Tc_ncoGcmzv2EmrMvQwfflgzQ_3_1"/>
      <w:bookmarkStart w:id="804" w:name="Tc_ubS2AgI4oUqlfGhqzUK1zA_3_0"/>
      <w:bookmarkStart w:id="805" w:name="Tc_c3CnsWyYhEW8aP61LuEcKg_2_16"/>
      <w:bookmarkStart w:id="806" w:name="Tc_hUC9dNb7Z0qEZ7QyIvHJqQ_2_13"/>
      <w:bookmarkStart w:id="807" w:name="Tc_nNf7pqxhSUC8J7cjdateTw_2_10"/>
      <w:bookmarkStart w:id="808" w:name="Tc_t-Wl9pQpIEKgwEXRrgNOxA_2_7"/>
      <w:bookmarkStart w:id="809" w:name="Tc_nyO_N4_R40euTkjH0Tq4zQ_2_4"/>
      <w:bookmarkStart w:id="810" w:name="Tc_6yeziYxKCUiEzQmD9kNRJQ_2_1"/>
      <w:bookmarkStart w:id="811" w:name="Tc_xA_TKeMXtE6W4hFlctB8Pw_1_1"/>
      <w:bookmarkStart w:id="812" w:name="_0fd8772a_50ec_4c25_b165_1e08c3fdc2e8"/>
      <w:bookmarkStart w:id="813" w:name="Tc_DZEkI5ifAUmUw9OsTjiZqg_6_5"/>
      <w:bookmarkStart w:id="814" w:name="Tc_bLD_UuN6Q0qAgFpr7dxv4Q_6_2"/>
      <w:bookmarkStart w:id="815" w:name="Tc_WvFDzUEZLk2JIyqxft8LVQ_6_0"/>
      <w:bookmarkStart w:id="816" w:name="Tc_6GpH4Asy1kKz46fwZ5zbpg_5_0"/>
      <w:bookmarkStart w:id="817" w:name="Tc_PUwne8oO40qmLR4BlIx7Lg_4_5"/>
      <w:bookmarkStart w:id="818" w:name="Tc_UUlaCE6z-0ObunTvEEXK3w_4_2"/>
      <w:bookmarkStart w:id="819" w:name="Tc_Bg50r113oE-kzQls-90a1Q_4_0"/>
      <w:bookmarkStart w:id="820" w:name="Tc_NBPvopwqAECNqiCJu1jagg_3_0"/>
      <w:bookmarkStart w:id="821" w:name="Tc_rg-kXU40Ukqv6Y3EjOws5A_2_5"/>
      <w:bookmarkStart w:id="822" w:name="Tc_fX2PiOuP_kWb9HPQ15qZkw_2_2"/>
      <w:bookmarkStart w:id="823" w:name="Tc_zRvIJGpdjUWYpXdwvmbizQ_1_5"/>
      <w:bookmarkStart w:id="824" w:name="Tc_0wFtJ1wVjEeqIXTn3O21bA_1_2"/>
      <w:bookmarkStart w:id="825" w:name="_e5dd2808_0f4b_40e8_b5e2_afdd07183aca"/>
      <w:bookmarkStart w:id="826" w:name="Tc_EJkbjMYaEEa3dw2ZXG4rdw_6_5"/>
      <w:bookmarkStart w:id="827" w:name="Tc_iSYcF3q540uXIcO8HzGaMg_6_2"/>
      <w:bookmarkStart w:id="828" w:name="Tc_pNcH5chntUWixhNy46yRJg_6_0"/>
      <w:bookmarkStart w:id="829" w:name="Tc_abcjE7r-KkS6207y2ho2aA_5_0"/>
      <w:bookmarkStart w:id="830" w:name="Tc_2Jw33fSkO0WZz8lJMUxU_w_4_5"/>
      <w:bookmarkStart w:id="831" w:name="Tc_yEC8H5OfGEu8O5u1VIYFmA_4_2"/>
      <w:bookmarkStart w:id="832" w:name="Tc_zZvAB53x0UmZtGNKiz--uw_4_0"/>
      <w:bookmarkStart w:id="833" w:name="Tc_l827GUDM-kmXJV7GttELtQ_3_0"/>
      <w:bookmarkStart w:id="834" w:name="Tc_hDZAu6grj0WSUVuvBWKr1Q_2_5"/>
      <w:bookmarkStart w:id="835" w:name="Tc_DKwlcO0BQE6KJA9K1yr01w_2_2"/>
      <w:bookmarkStart w:id="836" w:name="Tc_cBvA7Cw_70ilb2ZtSU-Ykw_1_5"/>
      <w:bookmarkStart w:id="837" w:name="Tc_PZGr2IvfVU2Vv2td68FH1A_1_2"/>
      <w:bookmarkStart w:id="838" w:name="_b389f9a9_4512_4f40_9a7e_418b12a4eee9"/>
      <w:bookmarkStart w:id="839" w:name="Tc_-5lZZ76Jd06GkRO62llIrg_7_5"/>
      <w:bookmarkStart w:id="840" w:name="Tc_VaVnfUYgRkq7UlhERKqbXA_7_2"/>
      <w:bookmarkStart w:id="841" w:name="Tc_pI1t8EF_YkS81XUV9ery2A_7_0"/>
      <w:bookmarkStart w:id="842" w:name="Tc_mKKyCWYyCUu6Gra0hO5XiA_6_0"/>
      <w:bookmarkStart w:id="843" w:name="Tc_PwlRBxQNPEWWJADxtJxrMw_5_5"/>
      <w:bookmarkStart w:id="844" w:name="Tc_NKlRL6B2VUSlYKQkrw49RA_5_2"/>
      <w:bookmarkStart w:id="845" w:name="Tc_I0zyXKJHM06Prez9PuYcKQ_5_0"/>
      <w:bookmarkStart w:id="846" w:name="Tc_3tB4Ejympk-Bx4J7XpKJog_4_0"/>
      <w:bookmarkStart w:id="847" w:name="Tc_K4ef5aojJkKixsXnLNgrng_3_5"/>
      <w:bookmarkStart w:id="848" w:name="Tc_CQt2u_6BvEK0iFAw7G2akQ_3_2"/>
      <w:bookmarkStart w:id="849" w:name="Tc_ZX_ryNB-fk2xPkTsCFWHYg_2_5"/>
      <w:bookmarkStart w:id="850" w:name="Tc_NHz2yFXI_U2pwxTmZb0DjA_2_2"/>
      <w:bookmarkStart w:id="851" w:name="_1ff11a22_4cc5_47a0_885c_86a4f2facc96"/>
      <w:bookmarkStart w:id="852" w:name="Tc_8LtEkyS9uEipgMzhOmDa9g_6_5"/>
      <w:bookmarkStart w:id="853" w:name="Tc_ZqF2EpF4AkGb3VZ_CaYDcg_6_2"/>
      <w:bookmarkStart w:id="854" w:name="Tc_zziXIbJBUkKBOK317zoCQg_6_0"/>
      <w:bookmarkStart w:id="855" w:name="Tc_pooxVO_hx0OFq7JhE-krFA_5_0"/>
      <w:bookmarkStart w:id="856" w:name="Tc_M_rRE9mqCkyyfHDPimTAqw_4_5"/>
      <w:bookmarkStart w:id="857" w:name="Tc_bdUdsyiBSEiIZ7vfUC65tA_4_2"/>
      <w:bookmarkStart w:id="858" w:name="Tc_xqnOp9mfDkGEAkVZcVs4PA_4_0"/>
      <w:bookmarkStart w:id="859" w:name="Tc_zGh_T5z-MU--5ovLg-xdLg_3_0"/>
      <w:bookmarkStart w:id="860" w:name="Tc_qF2yC7tymkGkwRj3suo7WQ_2_5"/>
      <w:bookmarkStart w:id="861" w:name="Tc_IgbAk0J8QUeNp99q7A8w8A_2_2"/>
      <w:bookmarkStart w:id="862" w:name="Tc_I7PvF3xsjEyJPzI8N6C1hA_1_5"/>
      <w:bookmarkStart w:id="863" w:name="Tc__5WNPy63EEG25pzoST-Mow_1_2"/>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present the Company’s total assets, net property and equipment, capital expenditures and operating right of use assets disaggregated by operating segment (in thousands):</w:t>
      </w:r>
    </w:p>
    <w:p>
      <w:pPr>
        <w:pStyle w:val="TextBody"/>
        <w:bidi w:val="0"/>
        <w:spacing w:lineRule="auto" w:line="285" w:before="0" w:after="0"/>
        <w:ind w:left="0" w:right="0" w:hanging="0"/>
        <w:jc w:val="left"/>
        <w:rPr/>
      </w:pPr>
      <w:r>
        <w:rPr/>
        <w:t>​</w:t>
      </w:r>
    </w:p>
    <w:tbl>
      <w:tblPr>
        <w:tblW w:w="4066" w:type="dxa"/>
        <w:jc w:val="left"/>
        <w:tblInd w:w="0" w:type="dxa"/>
        <w:tblLayout w:type="fixed"/>
        <w:tblCellMar>
          <w:top w:w="0" w:type="dxa"/>
          <w:left w:w="0" w:type="dxa"/>
          <w:bottom w:w="0" w:type="dxa"/>
          <w:right w:w="0" w:type="dxa"/>
        </w:tblCellMar>
      </w:tblPr>
      <w:tblGrid>
        <w:gridCol w:w="1201"/>
        <w:gridCol w:w="326"/>
        <w:gridCol w:w="295"/>
        <w:gridCol w:w="950"/>
        <w:gridCol w:w="109"/>
        <w:gridCol w:w="252"/>
        <w:gridCol w:w="933"/>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62635" cy="175260"/>
                      <wp:effectExtent l="0" t="0" r="0" b="0"/>
                      <wp:wrapNone/>
                      <wp:docPr id="106" name="Frame10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7325" cy="175260"/>
                      <wp:effectExtent l="0" t="0" r="0" b="0"/>
                      <wp:wrapNone/>
                      <wp:docPr id="108" name="Frame10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03250" cy="175260"/>
                      <wp:effectExtent l="0" t="0" r="0" b="0"/>
                      <wp:wrapNone/>
                      <wp:docPr id="109" name="Frame109"/>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0020" cy="175260"/>
                      <wp:effectExtent l="0" t="0" r="0" b="0"/>
                      <wp:wrapNone/>
                      <wp:docPr id="111" name="Frame1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2455" cy="175260"/>
                      <wp:effectExtent l="0" t="0" r="0" b="0"/>
                      <wp:wrapNone/>
                      <wp:docPr id="112" name="Frame11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2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2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95" w:type="dxa"/>
            <w:tcBorders/>
            <w:shd w:fill="CCEEFF" w:val="clear"/>
            <w:vAlign w:val="center"/>
          </w:tcPr>
          <w:p>
            <w:pPr>
              <w:pStyle w:val="TableContents"/>
              <w:bidi w:val="0"/>
              <w:spacing w:lineRule="auto" w:line="285" w:before="0" w:after="0"/>
              <w:ind w:left="0" w:right="0" w:hanging="0"/>
              <w:jc w:val="center"/>
              <w:rPr/>
            </w:pPr>
            <w:r>
              <w:rPr/>
              <w:t>​</w:t>
            </w:r>
          </w:p>
        </w:tc>
        <w:tc>
          <w:tcPr>
            <w:tcW w:w="950"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center"/>
              <w:rPr/>
            </w:pPr>
            <w:r>
              <w:rPr/>
              <w:t>​</w:t>
            </w:r>
          </w:p>
        </w:tc>
        <w:tc>
          <w:tcPr>
            <w:tcW w:w="933" w:type="dxa"/>
            <w:tcBorders/>
            <w:shd w:fill="CCEEFF" w:val="clear"/>
            <w:vAlign w:val="center"/>
          </w:tcPr>
          <w:p>
            <w:pPr>
              <w:pStyle w:val="TableContents"/>
              <w:bidi w:val="0"/>
              <w:spacing w:lineRule="auto" w:line="285" w:before="0" w:after="0"/>
              <w:ind w:left="0" w:right="0" w:hanging="0"/>
              <w:jc w:val="center"/>
              <w:rPr/>
            </w:pPr>
            <w:r>
              <w:rPr/>
              <w:t>​</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lineRule="auto" w:line="285" w:before="0" w:after="0"/>
              <w:ind w:left="0" w:right="0" w:hanging="0"/>
              <w:jc w:val="left"/>
              <w:rPr/>
            </w:pPr>
            <w:r>
              <w:rPr/>
              <w:t>​</w:t>
            </w:r>
          </w:p>
        </w:tc>
        <w:tc>
          <w:tcPr>
            <w:tcW w:w="2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35,384</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21,257</w:t>
            </w:r>
          </w:p>
        </w:tc>
      </w:tr>
      <w:tr>
        <w:trPr/>
        <w:tc>
          <w:tcPr>
            <w:tcW w:w="12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9,613</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lineRule="auto" w:line="285"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40,575</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30,870</w:t>
            </w:r>
          </w:p>
        </w:tc>
      </w:tr>
    </w:tbl>
    <w:p>
      <w:pPr>
        <w:pStyle w:val="TextBody"/>
        <w:bidi w:val="0"/>
        <w:spacing w:lineRule="auto" w:line="285" w:before="0" w:after="0"/>
        <w:ind w:left="0" w:right="0" w:firstLine="490"/>
        <w:jc w:val="both"/>
        <w:rPr/>
      </w:pPr>
      <w:r>
        <w:rPr/>
        <w:t>​</w:t>
      </w:r>
    </w:p>
    <w:tbl>
      <w:tblPr>
        <w:tblW w:w="5296" w:type="dxa"/>
        <w:jc w:val="left"/>
        <w:tblInd w:w="0" w:type="dxa"/>
        <w:tblLayout w:type="fixed"/>
        <w:tblCellMar>
          <w:top w:w="0" w:type="dxa"/>
          <w:left w:w="0" w:type="dxa"/>
          <w:bottom w:w="0" w:type="dxa"/>
          <w:right w:w="0" w:type="dxa"/>
        </w:tblCellMar>
      </w:tblPr>
      <w:tblGrid>
        <w:gridCol w:w="2431"/>
        <w:gridCol w:w="326"/>
        <w:gridCol w:w="295"/>
        <w:gridCol w:w="950"/>
        <w:gridCol w:w="109"/>
        <w:gridCol w:w="252"/>
        <w:gridCol w:w="933"/>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43685" cy="175260"/>
                      <wp:effectExtent l="0" t="0" r="0" b="0"/>
                      <wp:wrapNone/>
                      <wp:docPr id="113" name="Frame113"/>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7325" cy="175260"/>
                      <wp:effectExtent l="0" t="0" r="0" b="0"/>
                      <wp:wrapNone/>
                      <wp:docPr id="115" name="Frame11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03250" cy="175260"/>
                      <wp:effectExtent l="0" t="0" r="0" b="0"/>
                      <wp:wrapNone/>
                      <wp:docPr id="116" name="Frame11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0020" cy="175260"/>
                      <wp:effectExtent l="0" t="0" r="0" b="0"/>
                      <wp:wrapNone/>
                      <wp:docPr id="118" name="Frame11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2455" cy="175260"/>
                      <wp:effectExtent l="0" t="0" r="0" b="0"/>
                      <wp:wrapNone/>
                      <wp:docPr id="119" name="Frame11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95" w:type="dxa"/>
            <w:tcBorders/>
            <w:vAlign w:val="center"/>
          </w:tcPr>
          <w:p>
            <w:pPr>
              <w:pStyle w:val="TableContents"/>
              <w:bidi w:val="0"/>
              <w:spacing w:lineRule="auto" w:line="285" w:before="0" w:after="0"/>
              <w:ind w:left="0" w:right="0" w:hanging="0"/>
              <w:jc w:val="left"/>
              <w:rPr/>
            </w:pPr>
            <w:r>
              <w:rPr/>
              <w:t>​</w:t>
            </w:r>
          </w:p>
        </w:tc>
        <w:tc>
          <w:tcPr>
            <w:tcW w:w="95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2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95" w:type="dxa"/>
            <w:tcBorders/>
            <w:shd w:fill="CCEEFF" w:val="clear"/>
            <w:vAlign w:val="center"/>
          </w:tcPr>
          <w:p>
            <w:pPr>
              <w:pStyle w:val="TableContents"/>
              <w:bidi w:val="0"/>
              <w:spacing w:lineRule="auto" w:line="285" w:before="0" w:after="0"/>
              <w:ind w:left="0" w:right="0" w:hanging="0"/>
              <w:jc w:val="center"/>
              <w:rPr/>
            </w:pPr>
            <w:r>
              <w:rPr/>
              <w:t>​</w:t>
            </w:r>
          </w:p>
        </w:tc>
        <w:tc>
          <w:tcPr>
            <w:tcW w:w="950"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center"/>
              <w:rPr/>
            </w:pPr>
            <w:r>
              <w:rPr/>
              <w:t>​</w:t>
            </w:r>
          </w:p>
        </w:tc>
        <w:tc>
          <w:tcPr>
            <w:tcW w:w="933" w:type="dxa"/>
            <w:tcBorders/>
            <w:shd w:fill="CCEEFF" w:val="clear"/>
            <w:vAlign w:val="center"/>
          </w:tcPr>
          <w:p>
            <w:pPr>
              <w:pStyle w:val="TableContents"/>
              <w:bidi w:val="0"/>
              <w:spacing w:lineRule="auto" w:line="285" w:before="0" w:after="0"/>
              <w:ind w:left="0" w:right="0" w:hanging="0"/>
              <w:jc w:val="center"/>
              <w:rPr/>
            </w:pPr>
            <w:r>
              <w:rPr/>
              <w:t>​</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lineRule="auto" w:line="285" w:before="0" w:after="0"/>
              <w:ind w:left="0" w:right="0" w:hanging="0"/>
              <w:jc w:val="left"/>
              <w:rPr/>
            </w:pPr>
            <w:r>
              <w:rPr/>
              <w:t>​</w:t>
            </w:r>
          </w:p>
        </w:tc>
        <w:tc>
          <w:tcPr>
            <w:tcW w:w="2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21,760</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10,818</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2,161</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23,821</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12,979</w:t>
            </w:r>
          </w:p>
        </w:tc>
      </w:tr>
    </w:tbl>
    <w:p>
      <w:pPr>
        <w:pStyle w:val="TextBody"/>
        <w:bidi w:val="0"/>
        <w:spacing w:lineRule="auto" w:line="285" w:before="0" w:after="0"/>
        <w:ind w:left="0" w:right="0" w:firstLine="490"/>
        <w:jc w:val="both"/>
        <w:rPr/>
      </w:pPr>
      <w:r>
        <w:rPr/>
        <w:t>​</w:t>
      </w:r>
    </w:p>
    <w:tbl>
      <w:tblPr>
        <w:tblW w:w="5296" w:type="dxa"/>
        <w:jc w:val="left"/>
        <w:tblInd w:w="0" w:type="dxa"/>
        <w:tblLayout w:type="fixed"/>
        <w:tblCellMar>
          <w:top w:w="0" w:type="dxa"/>
          <w:left w:w="0" w:type="dxa"/>
          <w:bottom w:w="0" w:type="dxa"/>
          <w:right w:w="0" w:type="dxa"/>
        </w:tblCellMar>
      </w:tblPr>
      <w:tblGrid>
        <w:gridCol w:w="2326"/>
        <w:gridCol w:w="326"/>
        <w:gridCol w:w="295"/>
        <w:gridCol w:w="950"/>
        <w:gridCol w:w="109"/>
        <w:gridCol w:w="306"/>
        <w:gridCol w:w="984"/>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77010" cy="175260"/>
                      <wp:effectExtent l="0" t="0" r="0" b="0"/>
                      <wp:wrapNone/>
                      <wp:docPr id="120" name="Frame120"/>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87325" cy="175260"/>
                      <wp:effectExtent l="0" t="0" r="0" b="0"/>
                      <wp:wrapNone/>
                      <wp:docPr id="122" name="Frame12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03250" cy="175260"/>
                      <wp:effectExtent l="0" t="0" r="0" b="0"/>
                      <wp:wrapNone/>
                      <wp:docPr id="123" name="Frame123"/>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94310" cy="175260"/>
                      <wp:effectExtent l="0" t="0" r="0" b="0"/>
                      <wp:wrapNone/>
                      <wp:docPr id="125" name="Frame125"/>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24840" cy="175260"/>
                      <wp:effectExtent l="0" t="0" r="0" b="0"/>
                      <wp:wrapNone/>
                      <wp:docPr id="126" name="Frame126"/>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2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2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23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95" w:type="dxa"/>
            <w:tcBorders/>
            <w:shd w:fill="CCEEFF" w:val="clear"/>
            <w:vAlign w:val="center"/>
          </w:tcPr>
          <w:p>
            <w:pPr>
              <w:pStyle w:val="TableContents"/>
              <w:bidi w:val="0"/>
              <w:spacing w:lineRule="auto" w:line="285" w:before="0" w:after="0"/>
              <w:ind w:left="0" w:right="0" w:hanging="0"/>
              <w:jc w:val="center"/>
              <w:rPr/>
            </w:pPr>
            <w:r>
              <w:rPr/>
              <w:t>​</w:t>
            </w:r>
          </w:p>
        </w:tc>
        <w:tc>
          <w:tcPr>
            <w:tcW w:w="950"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06" w:type="dxa"/>
            <w:tcBorders/>
            <w:shd w:fill="CCEEFF" w:val="clear"/>
            <w:vAlign w:val="center"/>
          </w:tcPr>
          <w:p>
            <w:pPr>
              <w:pStyle w:val="TableContents"/>
              <w:bidi w:val="0"/>
              <w:spacing w:lineRule="auto" w:line="285" w:before="0" w:after="0"/>
              <w:ind w:left="0" w:right="0" w:hanging="0"/>
              <w:jc w:val="center"/>
              <w:rPr/>
            </w:pPr>
            <w:r>
              <w:rPr/>
              <w:t>​</w:t>
            </w:r>
          </w:p>
        </w:tc>
        <w:tc>
          <w:tcPr>
            <w:tcW w:w="984" w:type="dxa"/>
            <w:tcBorders/>
            <w:shd w:fill="CCEEFF" w:val="clear"/>
            <w:vAlign w:val="center"/>
          </w:tcPr>
          <w:p>
            <w:pPr>
              <w:pStyle w:val="TableContents"/>
              <w:bidi w:val="0"/>
              <w:spacing w:lineRule="auto" w:line="285" w:before="0" w:after="0"/>
              <w:ind w:left="0" w:right="0" w:hanging="0"/>
              <w:jc w:val="center"/>
              <w:rPr/>
            </w:pPr>
            <w:r>
              <w:rPr/>
              <w:t>​</w:t>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lineRule="auto" w:line="285" w:before="0" w:after="0"/>
              <w:ind w:left="0" w:right="0" w:hanging="0"/>
              <w:jc w:val="left"/>
              <w:rPr/>
            </w:pPr>
            <w:r>
              <w:rPr/>
              <w:t>​</w:t>
            </w:r>
          </w:p>
        </w:tc>
        <w:tc>
          <w:tcPr>
            <w:tcW w:w="2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14,170</w:t>
            </w:r>
          </w:p>
        </w:tc>
        <w:tc>
          <w:tcPr>
            <w:tcW w:w="109" w:type="dxa"/>
            <w:tcBorders/>
            <w:vAlign w:val="center"/>
          </w:tcPr>
          <w:p>
            <w:pPr>
              <w:pStyle w:val="TableContents"/>
              <w:bidi w:val="0"/>
              <w:spacing w:lineRule="auto" w:line="285" w:before="0" w:after="0"/>
              <w:ind w:left="0" w:right="0" w:hanging="0"/>
              <w:jc w:val="left"/>
              <w:rPr/>
            </w:pPr>
            <w:r>
              <w:rPr/>
              <w:t>​</w:t>
            </w:r>
          </w:p>
        </w:tc>
        <w:tc>
          <w:tcPr>
            <w:tcW w:w="3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1,120</w:t>
            </w:r>
          </w:p>
        </w:tc>
      </w:tr>
      <w:tr>
        <w:trPr/>
        <w:tc>
          <w:tcPr>
            <w:tcW w:w="2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1,205</w:t>
            </w:r>
          </w:p>
        </w:tc>
      </w:tr>
      <w:tr>
        <w:trPr/>
        <w:tc>
          <w:tcPr>
            <w:tcW w:w="23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326" w:type="dxa"/>
            <w:tcBorders/>
            <w:vAlign w:val="center"/>
          </w:tcPr>
          <w:p>
            <w:pPr>
              <w:pStyle w:val="TableContents"/>
              <w:bidi w:val="0"/>
              <w:spacing w:lineRule="auto" w:line="285"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14,575</w:t>
            </w:r>
          </w:p>
        </w:tc>
        <w:tc>
          <w:tcPr>
            <w:tcW w:w="109" w:type="dxa"/>
            <w:tcBorders/>
            <w:vAlign w:val="center"/>
          </w:tcPr>
          <w:p>
            <w:pPr>
              <w:pStyle w:val="TableContents"/>
              <w:bidi w:val="0"/>
              <w:spacing w:lineRule="auto" w:line="285"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2,325</w:t>
            </w:r>
          </w:p>
        </w:tc>
      </w:tr>
    </w:tbl>
    <w:p>
      <w:pPr>
        <w:pStyle w:val="TextBody"/>
        <w:bidi w:val="0"/>
        <w:spacing w:lineRule="auto" w:line="285" w:before="0" w:after="0"/>
        <w:ind w:left="0" w:right="0" w:firstLine="490"/>
        <w:jc w:val="both"/>
        <w:rPr/>
      </w:pPr>
      <w:r>
        <w:rPr/>
        <w:t>​</w:t>
      </w:r>
    </w:p>
    <w:tbl>
      <w:tblPr>
        <w:tblW w:w="5746" w:type="dxa"/>
        <w:jc w:val="left"/>
        <w:tblInd w:w="0" w:type="dxa"/>
        <w:tblLayout w:type="fixed"/>
        <w:tblCellMar>
          <w:top w:w="0" w:type="dxa"/>
          <w:left w:w="0" w:type="dxa"/>
          <w:bottom w:w="0" w:type="dxa"/>
          <w:right w:w="0" w:type="dxa"/>
        </w:tblCellMar>
      </w:tblPr>
      <w:tblGrid>
        <w:gridCol w:w="2881"/>
        <w:gridCol w:w="326"/>
        <w:gridCol w:w="335"/>
        <w:gridCol w:w="910"/>
        <w:gridCol w:w="109"/>
        <w:gridCol w:w="280"/>
        <w:gridCol w:w="905"/>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29435" cy="175260"/>
                      <wp:effectExtent l="0" t="0" r="0" b="0"/>
                      <wp:wrapNone/>
                      <wp:docPr id="127" name="Frame12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2725" cy="175260"/>
                      <wp:effectExtent l="0" t="0" r="0" b="0"/>
                      <wp:wrapNone/>
                      <wp:docPr id="129" name="Frame12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77850" cy="175260"/>
                      <wp:effectExtent l="0" t="0" r="0" b="0"/>
                      <wp:wrapNone/>
                      <wp:docPr id="130" name="Frame130"/>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7800" cy="175260"/>
                      <wp:effectExtent l="0" t="0" r="0" b="0"/>
                      <wp:wrapNone/>
                      <wp:docPr id="132" name="Frame13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4675" cy="175260"/>
                      <wp:effectExtent l="0" t="0" r="0" b="0"/>
                      <wp:wrapNone/>
                      <wp:docPr id="133" name="Frame13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2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Operating Right-of-use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shd w:fill="CCEEFF" w:val="clear"/>
            <w:vAlign w:val="center"/>
          </w:tcPr>
          <w:p>
            <w:pPr>
              <w:pStyle w:val="TableContents"/>
              <w:bidi w:val="0"/>
              <w:spacing w:lineRule="auto" w:line="285" w:before="0" w:after="0"/>
              <w:ind w:left="0" w:right="0" w:hanging="0"/>
              <w:jc w:val="center"/>
              <w:rPr/>
            </w:pPr>
            <w:r>
              <w:rPr/>
              <w:t>​</w:t>
            </w:r>
          </w:p>
        </w:tc>
        <w:tc>
          <w:tcPr>
            <w:tcW w:w="910"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80" w:type="dxa"/>
            <w:tcBorders/>
            <w:shd w:fill="CCEEFF" w:val="clear"/>
            <w:vAlign w:val="center"/>
          </w:tcPr>
          <w:p>
            <w:pPr>
              <w:pStyle w:val="TableContents"/>
              <w:bidi w:val="0"/>
              <w:spacing w:lineRule="auto" w:line="285" w:before="0" w:after="0"/>
              <w:ind w:left="0" w:right="0" w:hanging="0"/>
              <w:jc w:val="center"/>
              <w:rPr/>
            </w:pPr>
            <w:r>
              <w:rPr/>
              <w:t>​</w:t>
            </w:r>
          </w:p>
        </w:tc>
        <w:tc>
          <w:tcPr>
            <w:tcW w:w="905" w:type="dxa"/>
            <w:tcBorders/>
            <w:shd w:fill="CCEEFF" w:val="cle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lineRule="auto" w:line="285" w:before="0" w:after="0"/>
              <w:ind w:left="0" w:right="0" w:hanging="0"/>
              <w:jc w:val="left"/>
              <w:rPr/>
            </w:pPr>
            <w:r>
              <w:rPr/>
              <w:t>​</w:t>
            </w:r>
          </w:p>
        </w:tc>
        <w:tc>
          <w:tcPr>
            <w:tcW w:w="33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2,221</w:t>
            </w:r>
          </w:p>
        </w:tc>
        <w:tc>
          <w:tcPr>
            <w:tcW w:w="109" w:type="dxa"/>
            <w:tcBorders/>
            <w:vAlign w:val="center"/>
          </w:tcPr>
          <w:p>
            <w:pPr>
              <w:pStyle w:val="TableContents"/>
              <w:bidi w:val="0"/>
              <w:spacing w:lineRule="auto" w:line="285" w:before="0" w:after="0"/>
              <w:ind w:left="0" w:right="0" w:hanging="0"/>
              <w:jc w:val="left"/>
              <w:rPr/>
            </w:pPr>
            <w:r>
              <w:rPr/>
              <w:t>​</w:t>
            </w:r>
          </w:p>
        </w:tc>
        <w:tc>
          <w:tcPr>
            <w:tcW w:w="28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1,881</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1,121</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109" w:type="dxa"/>
            <w:tcBorders/>
            <w:vAlign w:val="center"/>
          </w:tcPr>
          <w:p>
            <w:pPr>
              <w:pStyle w:val="TableContents"/>
              <w:bidi w:val="0"/>
              <w:spacing w:lineRule="auto" w:line="285"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3,002</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firstLine="490"/>
        <w:jc w:val="both"/>
        <w:rPr>
          <w:rFonts w:ascii="Times New Roman;Times;serif" w:hAnsi="Times New Roman;Times;serif"/>
          <w:sz w:val="20"/>
        </w:rPr>
      </w:pPr>
      <w:r>
        <w:rPr>
          <w:rFonts w:ascii="Times New Roman;Times;serif" w:hAnsi="Times New Roman;Times;serif"/>
          <w:sz w:val="20"/>
        </w:rPr>
        <w:t>The reconciliation of the Company’s EBITDA to net income (loss) which are the most directly comparable GAAP financial measures, are provided in the following tables (in thousands):</w:t>
      </w:r>
    </w:p>
    <w:tbl>
      <w:tblPr>
        <w:tblW w:w="8247" w:type="dxa"/>
        <w:jc w:val="left"/>
        <w:tblInd w:w="0" w:type="dxa"/>
        <w:tblLayout w:type="fixed"/>
        <w:tblCellMar>
          <w:top w:w="0" w:type="dxa"/>
          <w:left w:w="0" w:type="dxa"/>
          <w:bottom w:w="0" w:type="dxa"/>
          <w:right w:w="0" w:type="dxa"/>
        </w:tblCellMar>
      </w:tblPr>
      <w:tblGrid>
        <w:gridCol w:w="2236"/>
        <w:gridCol w:w="208"/>
        <w:gridCol w:w="542"/>
        <w:gridCol w:w="109"/>
        <w:gridCol w:w="196"/>
        <w:gridCol w:w="631"/>
        <w:gridCol w:w="109"/>
        <w:gridCol w:w="259"/>
        <w:gridCol w:w="836"/>
        <w:gridCol w:w="109"/>
        <w:gridCol w:w="196"/>
        <w:gridCol w:w="631"/>
        <w:gridCol w:w="109"/>
        <w:gridCol w:w="196"/>
        <w:gridCol w:w="631"/>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19860" cy="175260"/>
                      <wp:effectExtent l="0" t="0" r="0" b="0"/>
                      <wp:wrapNone/>
                      <wp:docPr id="134" name="Frame134"/>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44170" cy="175260"/>
                      <wp:effectExtent l="0" t="0" r="0" b="0"/>
                      <wp:wrapNone/>
                      <wp:docPr id="135" name="Frame13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00685" cy="175260"/>
                      <wp:effectExtent l="0" t="0" r="0" b="0"/>
                      <wp:wrapNone/>
                      <wp:docPr id="137" name="Frame13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30860" cy="175260"/>
                      <wp:effectExtent l="0" t="0" r="0" b="0"/>
                      <wp:wrapNone/>
                      <wp:docPr id="139" name="Frame13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00685" cy="175260"/>
                      <wp:effectExtent l="0" t="0" r="0" b="0"/>
                      <wp:wrapNone/>
                      <wp:docPr id="141" name="Frame14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00685" cy="175260"/>
                      <wp:effectExtent l="0" t="0" r="0" b="0"/>
                      <wp:wrapNone/>
                      <wp:docPr id="143" name="Frame1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1340" cy="175260"/>
                      <wp:effectExtent l="0" t="0" r="0" b="0"/>
                      <wp:wrapNone/>
                      <wp:docPr id="145" name="Frame14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6011"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(5,617)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1,388</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(4,301)</w:t>
            </w:r>
          </w:p>
        </w:tc>
      </w:tr>
    </w:tbl>
    <w:p>
      <w:pPr>
        <w:pStyle w:val="TextBody"/>
        <w:bidi w:val="0"/>
        <w:spacing w:lineRule="auto" w:line="285" w:before="0" w:after="0"/>
        <w:ind w:left="0" w:right="0" w:firstLine="490"/>
        <w:jc w:val="both"/>
        <w:rPr/>
      </w:pPr>
      <w:r>
        <w:rPr/>
        <w:t>​</w:t>
      </w:r>
    </w:p>
    <w:tbl>
      <w:tblPr>
        <w:tblW w:w="8230" w:type="dxa"/>
        <w:jc w:val="left"/>
        <w:tblInd w:w="0" w:type="dxa"/>
        <w:tblLayout w:type="fixed"/>
        <w:tblCellMar>
          <w:top w:w="0" w:type="dxa"/>
          <w:left w:w="0" w:type="dxa"/>
          <w:bottom w:w="0" w:type="dxa"/>
          <w:right w:w="0" w:type="dxa"/>
        </w:tblCellMar>
      </w:tblPr>
      <w:tblGrid>
        <w:gridCol w:w="2236"/>
        <w:gridCol w:w="196"/>
        <w:gridCol w:w="631"/>
        <w:gridCol w:w="109"/>
        <w:gridCol w:w="216"/>
        <w:gridCol w:w="564"/>
        <w:gridCol w:w="109"/>
        <w:gridCol w:w="259"/>
        <w:gridCol w:w="83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419860" cy="175260"/>
                      <wp:effectExtent l="0" t="0" r="0" b="0"/>
                      <wp:wrapNone/>
                      <wp:docPr id="146" name="Frame146"/>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00685" cy="175260"/>
                      <wp:effectExtent l="0" t="0" r="0" b="0"/>
                      <wp:wrapNone/>
                      <wp:docPr id="147" name="Frame14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58140" cy="175260"/>
                      <wp:effectExtent l="0" t="0" r="0" b="0"/>
                      <wp:wrapNone/>
                      <wp:docPr id="149" name="Frame14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30860" cy="175260"/>
                      <wp:effectExtent l="0" t="0" r="0" b="0"/>
                      <wp:wrapNone/>
                      <wp:docPr id="151" name="Frame151"/>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00685" cy="175260"/>
                      <wp:effectExtent l="0" t="0" r="0" b="0"/>
                      <wp:wrapNone/>
                      <wp:docPr id="153" name="Frame15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58140" cy="175260"/>
                      <wp:effectExtent l="0" t="0" r="0" b="0"/>
                      <wp:wrapNone/>
                      <wp:docPr id="155" name="Frame155"/>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61340" cy="175260"/>
                      <wp:effectExtent l="0" t="0" r="0" b="0"/>
                      <wp:wrapNone/>
                      <wp:docPr id="157" name="Frame157"/>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94"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3,273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(3,317)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3,218</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576</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3,794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3,611</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772</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4,383</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932</w:t>
            </w:r>
          </w:p>
        </w:tc>
      </w:tr>
    </w:tbl>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0"/>
        <w:ind w:left="0" w:right="0" w:firstLine="533"/>
        <w:jc w:val="both"/>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864" w:name="Tc_5BCbhjktRkmWimrTothTMQ_6_2"/>
      <w:bookmarkStart w:id="865" w:name="Tc_I3tfQVv5-0-Qyz42tj-0Yw_6_0"/>
      <w:bookmarkStart w:id="866" w:name="Tc_ZCXBHhwHgkCnSKdm2nSgQw_5_3"/>
      <w:bookmarkStart w:id="867" w:name="Tc_Pbu7ircQvkuoVz1wDTSq2w_5_0"/>
      <w:bookmarkStart w:id="868" w:name="Tc_FcOtaIVPX0qMcz5kiflzVg_4_0"/>
      <w:bookmarkStart w:id="869" w:name="Tc_L1t2Z0gQKkOtvpsYjBb4Hg_3_0"/>
      <w:bookmarkStart w:id="870" w:name="Tc_a19KV7qWXk6A3fFLzT5XSw_2_0"/>
      <w:bookmarkStart w:id="871" w:name="Tc_WunxGsHxtU2OxNIhkIC4mg_1_2"/>
      <w:bookmarkStart w:id="872" w:name="Tc_C_BZHuS3Z062M1WdU65TUA_1_0"/>
      <w:bookmarkStart w:id="873" w:name="_82251e46_e7f1_4530_85c3_a5c98e37e2ce"/>
      <w:bookmarkStart w:id="874" w:name="Tc_ldBsffS9hUyRVuvbkpvYbw_4_2"/>
      <w:bookmarkStart w:id="875" w:name="Tc_unVM7ZE3HUC8w8i2momPAg_4_0"/>
      <w:bookmarkStart w:id="876" w:name="Tc_uUqbdjOIbkaP71IpEdRJCw_3_0"/>
      <w:bookmarkStart w:id="877" w:name="Tc_OaKzxjzZwUSF2lgkxe7hGQ_2_0"/>
      <w:bookmarkStart w:id="878" w:name="Tc_zm9JXAhqFUybq8YVt6fd6w_1_2"/>
      <w:bookmarkStart w:id="879" w:name="Tc_GUhA0vCi7kGJ3Lb-AukkgA_1_0"/>
      <w:bookmarkStart w:id="880" w:name="_09575116_2851_40e1_85d1_51704315a037"/>
      <w:bookmarkStart w:id="881" w:name="Tc_N1-DOlsRO0a6OLmeY-PyEg_4_0"/>
      <w:bookmarkStart w:id="882" w:name="Tc_i3uUXOdU-EaoRifuY7KmnA_3_5"/>
      <w:bookmarkStart w:id="883" w:name="Tc_NpwFCXUzVEGxfvNPqtZs0w_3_2"/>
      <w:bookmarkStart w:id="884" w:name="Tc_Z7IaE37nLEufGsgljfIn1Q_3_0"/>
      <w:bookmarkStart w:id="885" w:name="Tc_qqQQdsaP4k6zvJafG3FwHg_2_0"/>
      <w:bookmarkStart w:id="886" w:name="Tc__yZTR8wO-UqsRV64ZjvVyw_1_5"/>
      <w:bookmarkStart w:id="887" w:name="Tc_SHY6PBYJPkGj-qiQ3QRRyA_1_2"/>
      <w:bookmarkStart w:id="888" w:name="_a34bca9a_72c9_4757_9709_d263aa528909"/>
      <w:bookmarkStart w:id="889" w:name="_2ccd16b7_c2ae_4cf3_94ba_f002266a0735_3"/>
      <w:bookmarkStart w:id="890" w:name="_2ccd16b7_c2ae_4cf3_94ba_f002266a0735_2"/>
      <w:bookmarkStart w:id="891" w:name="_2ccd16b7_c2ae_4cf3_94ba_f002266a0735"/>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sz w:val="20"/>
        </w:rPr>
        <w:t>6. DEBT</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Letters of Credit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September 30, 2025, the Company has no outstanding letters of credit. </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Geospace Notes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connection with the Equipment Purchase Agreement, as of September 30, 2025, the Company has issued two Geospace Notes. Dawson Operating and Dawson Geophysical Company issued the first Geospace Note on August 8, 2025, for approximately $3.6 million. Dawson Operating and Dawson Geophysical Company issued the second Geospace Note on September 29, 2025 for approximately $3.9 million. Each Note has a term of 36 months with a fixed interest rate of 8.75% annually and may be prepaid in whole or in part at any time without penalty. The combined monthly principal and interest payments due on these notes totals approximately $239,000. These notes are collateralized by both the equipment purchased and two owned properties in Midland that consist of a 61,402 square foot property used as a field office and a 6,600 square foot property used as an inventory and storage facility. </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Other Indebtedness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As of September 30, 2025, the Company has two short-term notes payable to finance companies for various insurance premiums totaling $0.2 million. As of December 31, 2024, the Company had one outstanding short-term note payable to a finance company for various insurance premiums totaling $168,000.</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In addition, the Company leases certain seismic recording equipment and vehicles under leases classified as finance leases. The Company’s Condensed Consolidated Balance Sheet as of September 30, 2025, and December 31, 2024, include finance leases of $2.5 million and $2.4 million, respectively.</w:t>
      </w:r>
    </w:p>
    <w:p>
      <w:pPr>
        <w:pStyle w:val="TextBody"/>
        <w:bidi w:val="0"/>
        <w:spacing w:lineRule="auto" w:line="268" w:before="0" w:after="240"/>
        <w:ind w:left="0" w:right="0" w:hanging="0"/>
        <w:jc w:val="left"/>
        <w:rPr>
          <w:rFonts w:ascii="Times New Roman;Times;serif" w:hAnsi="Times New Roman;Times;serif"/>
          <w:b/>
          <w:sz w:val="20"/>
        </w:rPr>
      </w:pPr>
      <w:r>
        <w:rPr>
          <w:rFonts w:ascii="Times New Roman;Times;serif" w:hAnsi="Times New Roman;Times;serif"/>
          <w:b/>
          <w:sz w:val="20"/>
        </w:rPr>
        <w:t>Maturities and Interest Rates of Debt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set forth the aggregate principal amount (in thousands) under the Company’s outstanding notes payable and the interest rates as of September 30, 2025, and December 31, 2024:</w:t>
      </w:r>
    </w:p>
    <w:tbl>
      <w:tblPr>
        <w:tblW w:w="7653" w:type="dxa"/>
        <w:jc w:val="left"/>
        <w:tblInd w:w="0" w:type="dxa"/>
        <w:tblLayout w:type="fixed"/>
        <w:tblCellMar>
          <w:top w:w="0" w:type="dxa"/>
          <w:left w:w="0" w:type="dxa"/>
          <w:bottom w:w="0" w:type="dxa"/>
          <w:right w:w="0" w:type="dxa"/>
        </w:tblCellMar>
      </w:tblPr>
      <w:tblGrid>
        <w:gridCol w:w="4021"/>
        <w:gridCol w:w="326"/>
        <w:gridCol w:w="536"/>
        <w:gridCol w:w="1070"/>
        <w:gridCol w:w="109"/>
        <w:gridCol w:w="495"/>
        <w:gridCol w:w="109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553335" cy="175260"/>
                      <wp:effectExtent l="0" t="0" r="0" b="0"/>
                      <wp:wrapNone/>
                      <wp:docPr id="158" name="Frame15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40360" cy="175260"/>
                      <wp:effectExtent l="0" t="0" r="0" b="0"/>
                      <wp:wrapNone/>
                      <wp:docPr id="160" name="Frame160"/>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79450" cy="175260"/>
                      <wp:effectExtent l="0" t="0" r="0" b="0"/>
                      <wp:wrapNone/>
                      <wp:docPr id="161" name="Frame161"/>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14325" cy="175260"/>
                      <wp:effectExtent l="0" t="0" r="0" b="0"/>
                      <wp:wrapNone/>
                      <wp:docPr id="163" name="Frame163"/>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5960" cy="175260"/>
                      <wp:effectExtent l="0" t="0" r="0" b="0"/>
                      <wp:wrapNone/>
                      <wp:docPr id="164" name="Frame16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109" w:type="dxa"/>
            <w:tcBorders/>
            <w:vAlign w:val="center"/>
          </w:tcPr>
          <w:p>
            <w:pPr>
              <w:pStyle w:val="TableContents"/>
              <w:bidi w:val="0"/>
              <w:spacing w:lineRule="auto" w:line="285"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to finance company for insurance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3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26"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109" w:type="dxa"/>
            <w:tcBorders/>
            <w:vAlign w:val="center"/>
          </w:tcPr>
          <w:p>
            <w:pPr>
              <w:pStyle w:val="TableContents"/>
              <w:bidi w:val="0"/>
              <w:spacing w:lineRule="auto" w:line="285" w:before="0" w:after="0"/>
              <w:ind w:left="0" w:right="0" w:hanging="0"/>
              <w:jc w:val="left"/>
              <w:rPr/>
            </w:pPr>
            <w:r>
              <w:rPr/>
              <w:t>​</w:t>
            </w:r>
          </w:p>
        </w:tc>
        <w:tc>
          <w:tcPr>
            <w:tcW w:w="4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rates range from 6.35% to 9.47%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3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notes payable for equipment purchases as of September 30, 2025,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7790" cy="175260"/>
                      <wp:effectExtent l="0" t="0" r="0" b="0"/>
                      <wp:wrapNone/>
                      <wp:docPr id="170" name="Frame1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2025 - September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2026 - September 2027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2027 - September 2028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notes payable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240" w:after="240"/>
        <w:ind w:left="0" w:right="0" w:firstLine="490"/>
        <w:jc w:val="both"/>
        <w:rPr>
          <w:rFonts w:ascii="Times New Roman;Times;serif" w:hAnsi="Times New Roman;Times;serif"/>
          <w:sz w:val="20"/>
        </w:rPr>
      </w:pPr>
      <w:r>
        <w:rPr>
          <w:rFonts w:ascii="Times New Roman;Times;serif" w:hAnsi="Times New Roman;Times;serif"/>
          <w:sz w:val="20"/>
        </w:rPr>
        <w:t>Interest rates on these notes are 8.75%.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finance leases (net of imputed interest) as of September 30, 2025,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2585" cy="175260"/>
                      <wp:effectExtent l="0" t="0" r="0" b="0"/>
                      <wp:wrapNone/>
                      <wp:docPr id="173"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7790" cy="175260"/>
                      <wp:effectExtent l="0" t="0" r="0" b="0"/>
                      <wp:wrapNone/>
                      <wp:docPr id="176" name="Frame1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2025 - September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2026 - September 2027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2027 - September 2028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2028 - September 2029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2029 - September 2030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finance leases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2,484</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Interest rates on these leases range from 4.86% to 8.74%.</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892" w:name="Tc_yi_UtxxlDUCuVdMQ1iWtkA_12_5"/>
      <w:bookmarkStart w:id="893" w:name="Tc_ZWd_0yQapUKRlUUE4kOuEw_12_2"/>
      <w:bookmarkStart w:id="894" w:name="Tc_803YnDyI3kq21zKxuffvOA_12_0"/>
      <w:bookmarkStart w:id="895" w:name="Tc_3GeytHc_mUSeif60nUw_DA_10_0"/>
      <w:bookmarkStart w:id="896" w:name="Tc_P1nBXmX3t0-HrbPEFP80fA_8_0"/>
      <w:bookmarkStart w:id="897" w:name="Tc_oibGAmTSa0GmPXoQ-iXnDg_7_6"/>
      <w:bookmarkStart w:id="898" w:name="Tc_YMF6OVTK6Eq2EtZv45S2fQ_7_3"/>
      <w:bookmarkStart w:id="899" w:name="Tc_BssRJK6ANUeIbtUPkQqGwg_7_0"/>
      <w:bookmarkStart w:id="900" w:name="Tc_10hhrySl6k6DD6qsIRTP0A_6_6"/>
      <w:bookmarkStart w:id="901" w:name="Tc_NT_FKokAy02ktAWthpAGRg_6_0"/>
      <w:bookmarkStart w:id="902" w:name="Tc_6qgFjPm2ckC05wMExTKV5A_5_0"/>
      <w:bookmarkStart w:id="903" w:name="Tc_b90ZLBKhP0y8XVjJqe1kZQ_4_0"/>
      <w:bookmarkStart w:id="904" w:name="Tc_kw_OcYMV90yeicHYL0Fz_A_3_0"/>
      <w:bookmarkStart w:id="905" w:name="Tc_CKnKyqGcUUeslh-M5u3lUg_2_5"/>
      <w:bookmarkStart w:id="906" w:name="Tc_tP30DUtn4UmCusktMi5XNw_2_2"/>
      <w:bookmarkStart w:id="907" w:name="Tc_ocRc0zSlXUO76731Lt4K-w_2_0"/>
      <w:bookmarkStart w:id="908" w:name="Tc_NphmoP6xtUy2CCYjm1q_7A_1_5"/>
      <w:bookmarkStart w:id="909" w:name="Tc_OH6OEwcYu0mVXrSWV6UF1g_1_2"/>
      <w:bookmarkStart w:id="910" w:name="_22473a35_8e08_40b4_b032_a002fccb68e5"/>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Pr>
          <w:rFonts w:ascii="Times New Roman;Times;serif" w:hAnsi="Times New Roman;Times;serif"/>
          <w:b/>
          <w:sz w:val="20"/>
        </w:rPr>
        <w:t>7. LEASES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leases certain vehicles, seismic recording equipment, real property and office equipment under lease agreements. The Company evaluates each lease to determine its appropriate classification as an operating lease or finance lease for financial reporting purposes. The majority of our operating leases are non-cancelable operating leases for office and shop space in Midland and Plano Texas, and Calgary, Alberta. The Company extended and modified its Midland office operating lease during the third quarter of 2025, otherwise, there have been no material changes to our other leases since the Company’s most recent Annual Report on Form 10-K that was filed with the SEC on April 2, 2025.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Maturities of lease liabilities as of September 30, 2025, are as follows (in thousands):</w:t>
      </w:r>
    </w:p>
    <w:tbl>
      <w:tblPr>
        <w:tblW w:w="6264" w:type="dxa"/>
        <w:jc w:val="left"/>
        <w:tblInd w:w="0" w:type="dxa"/>
        <w:tblLayout w:type="fixed"/>
        <w:tblCellMar>
          <w:top w:w="0" w:type="dxa"/>
          <w:left w:w="0" w:type="dxa"/>
          <w:bottom w:w="0" w:type="dxa"/>
          <w:right w:w="0" w:type="dxa"/>
        </w:tblCellMar>
      </w:tblPr>
      <w:tblGrid>
        <w:gridCol w:w="3301"/>
        <w:gridCol w:w="109"/>
        <w:gridCol w:w="388"/>
        <w:gridCol w:w="1052"/>
        <w:gridCol w:w="109"/>
        <w:gridCol w:w="310"/>
        <w:gridCol w:w="995"/>
      </w:tblGrid>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6380" cy="175260"/>
                      <wp:effectExtent l="0" t="0" r="0" b="0"/>
                      <wp:wrapNone/>
                      <wp:docPr id="178" name="Frame17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68020" cy="175260"/>
                      <wp:effectExtent l="0" t="0" r="0" b="0"/>
                      <wp:wrapNone/>
                      <wp:docPr id="179" name="Frame179"/>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6850" cy="175260"/>
                      <wp:effectExtent l="0" t="0" r="0" b="0"/>
                      <wp:wrapNone/>
                      <wp:docPr id="181" name="Frame18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31825" cy="175260"/>
                      <wp:effectExtent l="0" t="0" r="0" b="0"/>
                      <wp:wrapNone/>
                      <wp:docPr id="182" name="Frame18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Operating Leases</w:t>
            </w:r>
          </w:p>
        </w:tc>
        <w:tc>
          <w:tcPr>
            <w:tcW w:w="109" w:type="dxa"/>
            <w:tcBorders/>
            <w:vAlign w:val="center"/>
          </w:tcPr>
          <w:p>
            <w:pPr>
              <w:pStyle w:val="TableContents"/>
              <w:bidi w:val="0"/>
              <w:spacing w:lineRule="auto" w:line="285"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8"/>
              </w:rPr>
            </w:pPr>
            <w:r>
              <w:rPr>
                <w:rFonts w:ascii="Times New Roman;Times;serif" w:hAnsi="Times New Roman;Times;serif"/>
                <w:b/>
                <w:sz w:val="18"/>
              </w:rPr>
              <w:t>Finance Leases</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October 2025 - September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1,207</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October 2026 - September 2027</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969</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928</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October 2027 - September 2028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October 2028 - September 2029</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October 2029 - September 2030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pPr>
            <w:r>
              <w:rPr/>
              <w:t>—</w:t>
            </w:r>
          </w:p>
        </w:tc>
      </w:tr>
      <w:tr>
        <w:trPr/>
        <w:tc>
          <w:tcPr>
            <w:tcW w:w="330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payments under lease agreements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2,684</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vAlign w:val="center"/>
          </w:tcPr>
          <w:p>
            <w:pPr>
              <w:pStyle w:val="TableContents"/>
              <w:bidi w:val="0"/>
              <w:spacing w:lineRule="auto" w:line="285" w:before="0" w:after="0"/>
              <w:ind w:left="0" w:right="0" w:hanging="0"/>
              <w:jc w:val="left"/>
              <w:rPr/>
            </w:pPr>
            <w:r>
              <w:rPr/>
              <w:t>​</w:t>
            </w:r>
          </w:p>
        </w:tc>
        <w:tc>
          <w:tcPr>
            <w:tcW w:w="995"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w:t>
            </w:r>
          </w:p>
        </w:tc>
        <w:tc>
          <w:tcPr>
            <w:tcW w:w="10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shd w:fill="CCEEFF" w:val="clear"/>
            <w:vAlign w:val="center"/>
          </w:tcPr>
          <w:p>
            <w:pPr>
              <w:pStyle w:val="TableContents"/>
              <w:bidi w:val="0"/>
              <w:spacing w:lineRule="auto" w:line="285" w:before="0" w:after="0"/>
              <w:ind w:left="0" w:right="0" w:hanging="0"/>
              <w:jc w:val="left"/>
              <w:rPr/>
            </w:pPr>
            <w:r>
              <w:rPr/>
              <w:t>​</w:t>
            </w:r>
          </w:p>
        </w:tc>
        <w:tc>
          <w:tcPr>
            <w:tcW w:w="9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2,484</w:t>
            </w:r>
          </w:p>
        </w:tc>
      </w:tr>
    </w:tbl>
    <w:p>
      <w:pPr>
        <w:pStyle w:val="TextBody"/>
        <w:bidi w:val="0"/>
        <w:spacing w:lineRule="auto" w:line="314" w:before="0" w:after="120"/>
        <w:ind w:left="0" w:right="0" w:firstLine="490"/>
        <w:jc w:val="both"/>
        <w:rPr/>
      </w:pPr>
      <w:r>
        <w:rPr/>
        <w:t>​</w:t>
      </w:r>
    </w:p>
    <w:p>
      <w:pPr>
        <w:pStyle w:val="TextBody"/>
        <w:bidi w:val="0"/>
        <w:spacing w:lineRule="auto" w:line="314" w:before="0" w:after="120"/>
        <w:ind w:left="0" w:right="0" w:firstLine="490"/>
        <w:jc w:val="both"/>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2"/>
        </w:rPr>
        <w:t>8</w:t>
      </w:r>
      <w:r>
        <w:rPr>
          <w:rFonts w:ascii="Times New Roman;Times;serif" w:hAnsi="Times New Roman;Times;serif"/>
          <w:b/>
          <w:sz w:val="20"/>
        </w:rPr>
        <w:t xml:space="preserve">. COMMITMENTS AND CONTINGENCIES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From time to time, the Company is a party to various legal proceedings arising in the ordinary course of business. Although the Company cannot predict the outcomes of any such legal proceedings, management believes that the resolution of pending legal actions will not have a material adverse effect on the Company’s financial condition, results of operations or liquidity, as the Company believes it is adequately indemnified and insured.</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Additionally, the Company experiences contractual disputes with its clients from time to time regarding the payment of invoices or other matters. While the Company seeks to minimize these disputes and maintain good relations with its clients, the Company has experienced in the past, and may experience in the future, disputes that could affect its revenues and results of operations in any period. </w:t>
      </w:r>
    </w:p>
    <w:p>
      <w:pPr>
        <w:pStyle w:val="TextBody"/>
        <w:bidi w:val="0"/>
        <w:spacing w:lineRule="auto" w:line="285" w:before="0" w:after="240"/>
        <w:ind w:left="0" w:right="0" w:hanging="0"/>
        <w:jc w:val="left"/>
        <w:rPr>
          <w:rFonts w:ascii="Times New Roman;Times;serif" w:hAnsi="Times New Roman;Times;serif"/>
          <w:b/>
          <w:sz w:val="20"/>
        </w:rPr>
      </w:pPr>
      <w:bookmarkStart w:id="911" w:name="Tc_8-TfATfeiE6bQbrdC1UUDQ_9_11"/>
      <w:bookmarkStart w:id="912" w:name="Tc_MphSUa6ZNka7ohganUCWQA_9_8"/>
      <w:bookmarkStart w:id="913" w:name="Tc_4IEDmJICKkmRGDgwMmJ-QA_9_5"/>
      <w:bookmarkStart w:id="914" w:name="Tc_G5dv6JiffUmJsOybsXUBKw_9_2"/>
      <w:bookmarkStart w:id="915" w:name="Tc_HcnXj4fGeEiwQYqh9ttFDg_9_0"/>
      <w:bookmarkStart w:id="916" w:name="Tc_I_6nin3KB0SZdlVnHpAxDA_8_11"/>
      <w:bookmarkStart w:id="917" w:name="Tc_eGjQUKJ6ukqk-zYpHOqKTA_8_8"/>
      <w:bookmarkStart w:id="918" w:name="Tc_eTilwSjgXkOB-cijRi6LlQ_8_5"/>
      <w:bookmarkStart w:id="919" w:name="Tc_1V99ruuD5UetD8dZiu8EHQ_8_2"/>
      <w:bookmarkStart w:id="920" w:name="Tc_nH3PG1fBAE6WwaZ6lY_k5A_8_0"/>
      <w:bookmarkStart w:id="921" w:name="Tc_KtV_oXq36UippmMpP2wTeA_7_0"/>
      <w:bookmarkStart w:id="922" w:name="Tc_Y1sD2VVvJE6upAN4OXpePg_6_12"/>
      <w:bookmarkStart w:id="923" w:name="Tc_BJX5XOWa-kunWm9VeFc6LQ_6_9"/>
      <w:bookmarkStart w:id="924" w:name="Tc_AbRCvm_230KOmWbJSmvNRA_6_6"/>
      <w:bookmarkStart w:id="925" w:name="Tc_K9D_ln9tbkiuqm4hzFaRHQ_6_3"/>
      <w:bookmarkStart w:id="926" w:name="Tc_eu5OQLAVMkmOzrv6h6nIIQ_6_0"/>
      <w:bookmarkStart w:id="927" w:name="Tc_5r7xEWHF_Ui99FBzG_QsCA_5_0"/>
      <w:bookmarkStart w:id="928" w:name="Tc_QbjmulaZZUWH2K3gUodqDw_4_0"/>
      <w:bookmarkStart w:id="929" w:name="Tc_NWBKsA4GsUmAeAGNfawBig_3_11"/>
      <w:bookmarkStart w:id="930" w:name="Tc_QxLRnZNH_UyJiZD11yaQgQ_3_8"/>
      <w:bookmarkStart w:id="931" w:name="Tc_4NP-89K8NUeBMR_m9e_TVQ_3_5"/>
      <w:bookmarkStart w:id="932" w:name="Tc_2pU6bsU2L02-94VAvvT67Q_3_2"/>
      <w:bookmarkStart w:id="933" w:name="Tc_BFpE3HSBoki7F2yKP5ke5w_3_0"/>
      <w:bookmarkStart w:id="934" w:name="Tc__b5v7EWZDkO-SmvTRMFjkw_2_11"/>
      <w:bookmarkStart w:id="935" w:name="Tc_SJMJIzC6vUuk9k0hijEbGw_2_8"/>
      <w:bookmarkStart w:id="936" w:name="Tc_-mkyI8GS20aDKQ9etH_S7Q_2_5"/>
      <w:bookmarkStart w:id="937" w:name="Tc_mrPuIdMJCUu2pQxfQMygbQ_2_2"/>
      <w:bookmarkStart w:id="938" w:name="Tc_nygkfE7jnUyzsus4E7_QNA_1_8"/>
      <w:bookmarkStart w:id="939" w:name="Tc_GKwuoZ2vmEWFhZkC6M3l9g_1_2"/>
      <w:bookmarkStart w:id="940" w:name="_10cd5115_5ff7_4771_b7a7_94170e1cdea4"/>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b/>
          <w:sz w:val="20"/>
        </w:rPr>
        <w:t xml:space="preserve">9. NET INCOME (LOSS) PER SHARE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income (loss) per share is computed by dividing the net income (loss) by the weighted average shares outstanding. Diluted income (loss) per share is computed by dividing the net income (loss) by the weighted average diluted shares outstanding.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 $0.32 per share special cash dividend on the Company’s common stock was declared on March 28, 2024, and paid on May 6, 2024 to stockholders of record as of the close of business on April 22, 2024. The aggregate payment was approximately $9.9 million.</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computation of basic and diluted income (loss) per share (in thousands, except share and per share data) was as follows:</w:t>
      </w:r>
    </w:p>
    <w:tbl>
      <w:tblPr>
        <w:tblW w:w="10205" w:type="dxa"/>
        <w:jc w:val="left"/>
        <w:tblInd w:w="0" w:type="dxa"/>
        <w:tblLayout w:type="fixed"/>
        <w:tblCellMar>
          <w:top w:w="0" w:type="dxa"/>
          <w:left w:w="0" w:type="dxa"/>
          <w:bottom w:w="0" w:type="dxa"/>
          <w:right w:w="0" w:type="dxa"/>
        </w:tblCellMar>
      </w:tblPr>
      <w:tblGrid>
        <w:gridCol w:w="3659"/>
        <w:gridCol w:w="326"/>
        <w:gridCol w:w="214"/>
        <w:gridCol w:w="1054"/>
        <w:gridCol w:w="331"/>
        <w:gridCol w:w="214"/>
        <w:gridCol w:w="1054"/>
        <w:gridCol w:w="326"/>
        <w:gridCol w:w="211"/>
        <w:gridCol w:w="1040"/>
        <w:gridCol w:w="327"/>
        <w:gridCol w:w="211"/>
        <w:gridCol w:w="1040"/>
        <w:gridCol w:w="198"/>
      </w:tblGrid>
      <w:tr>
        <w:trPr/>
        <w:tc>
          <w:tcPr>
            <w:tcW w:w="3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323465" cy="175260"/>
                      <wp:effectExtent l="0" t="0" r="0" b="0"/>
                      <wp:wrapNone/>
                      <wp:docPr id="183" name="Frame183"/>
                      <a:graphic xmlns:a="http://schemas.openxmlformats.org/drawingml/2006/main">
                        <a:graphicData uri="http://schemas.microsoft.com/office/word/2010/wordprocessingShape">
                          <wps:wsp>
                            <wps:cNvSpPr txBox="1"/>
                            <wps:spPr>
                              <a:xfrm>
                                <a:off x="0" y="0"/>
                                <a:ext cx="2323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5890" cy="175260"/>
                      <wp:effectExtent l="0" t="0" r="0" b="0"/>
                      <wp:wrapNone/>
                      <wp:docPr id="185" name="Frame18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9290" cy="175260"/>
                      <wp:effectExtent l="0" t="0" r="0" b="0"/>
                      <wp:wrapNone/>
                      <wp:docPr id="186" name="Frame186"/>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0185" cy="175260"/>
                      <wp:effectExtent l="0" t="0" r="0" b="0"/>
                      <wp:wrapNone/>
                      <wp:docPr id="187" name="Frame18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5890" cy="175260"/>
                      <wp:effectExtent l="0" t="0" r="0" b="0"/>
                      <wp:wrapNone/>
                      <wp:docPr id="188" name="Frame18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9290" cy="175260"/>
                      <wp:effectExtent l="0" t="0" r="0" b="0"/>
                      <wp:wrapNone/>
                      <wp:docPr id="189" name="Frame189"/>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60400" cy="175260"/>
                      <wp:effectExtent l="0" t="0" r="0" b="0"/>
                      <wp:wrapNone/>
                      <wp:docPr id="192" name="Frame192"/>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645" cy="175260"/>
                      <wp:effectExtent l="0" t="0" r="0" b="0"/>
                      <wp:wrapNone/>
                      <wp:docPr id="193" name="Frame19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60400" cy="175260"/>
                      <wp:effectExtent l="0" t="0" r="0" b="0"/>
                      <wp:wrapNone/>
                      <wp:docPr id="195" name="Frame195"/>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5730" cy="175260"/>
                      <wp:effectExtent l="0" t="0" r="0" b="0"/>
                      <wp:wrapNone/>
                      <wp:docPr id="196" name="Frame19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59"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86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8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c>
          <w:tcPr>
            <w:tcW w:w="198" w:type="dxa"/>
            <w:tcBorders/>
            <w:vAlign w:val="center"/>
          </w:tcPr>
          <w:p>
            <w:pPr>
              <w:pStyle w:val="TableContents"/>
              <w:bidi w:val="0"/>
              <w:spacing w:lineRule="auto" w:line="285" w:before="0" w:after="0"/>
              <w:ind w:left="0" w:right="0" w:hanging="0"/>
              <w:jc w:val="left"/>
              <w:rPr/>
            </w:pPr>
            <w:r>
              <w:rPr/>
              <w:t>​</w:t>
            </w:r>
          </w:p>
        </w:tc>
      </w:tr>
      <w:tr>
        <w:trPr/>
        <w:tc>
          <w:tcPr>
            <w:tcW w:w="3659"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26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31" w:type="dxa"/>
            <w:tcBorders/>
            <w:vAlign w:val="center"/>
          </w:tcPr>
          <w:p>
            <w:pPr>
              <w:pStyle w:val="TableContents"/>
              <w:bidi w:val="0"/>
              <w:spacing w:lineRule="auto" w:line="285" w:before="0" w:after="0"/>
              <w:ind w:left="0" w:right="0" w:hanging="0"/>
              <w:jc w:val="left"/>
              <w:rPr/>
            </w:pPr>
            <w:r>
              <w:rPr/>
              <w:t>    </w:t>
            </w:r>
          </w:p>
        </w:tc>
        <w:tc>
          <w:tcPr>
            <w:tcW w:w="126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2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7" w:type="dxa"/>
            <w:tcBorders/>
            <w:vAlign w:val="center"/>
          </w:tcPr>
          <w:p>
            <w:pPr>
              <w:pStyle w:val="TableContents"/>
              <w:bidi w:val="0"/>
              <w:spacing w:lineRule="auto" w:line="285" w:before="0" w:after="0"/>
              <w:ind w:left="0" w:right="0" w:hanging="0"/>
              <w:jc w:val="left"/>
              <w:rPr/>
            </w:pPr>
            <w:r>
              <w:rPr/>
              <w:t>    </w:t>
            </w:r>
          </w:p>
        </w:tc>
        <w:tc>
          <w:tcPr>
            <w:tcW w:w="12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8" w:type="dxa"/>
            <w:tcBorders/>
            <w:vAlign w:val="center"/>
          </w:tcPr>
          <w:p>
            <w:pPr>
              <w:pStyle w:val="TableContents"/>
              <w:bidi w:val="0"/>
              <w:spacing w:lineRule="auto" w:line="285" w:before="0" w:after="0"/>
              <w:ind w:left="0" w:right="0" w:hanging="0"/>
              <w:jc w:val="left"/>
              <w:rPr/>
            </w:pPr>
            <w:r>
              <w:rPr/>
              <w:t> </w:t>
            </w:r>
          </w:p>
        </w:tc>
      </w:tr>
      <w:tr>
        <w:trPr/>
        <w:tc>
          <w:tcPr>
            <w:tcW w:w="365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31"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(2,510)</w:t>
            </w:r>
          </w:p>
        </w:tc>
        <w:tc>
          <w:tcPr>
            <w:tcW w:w="327"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(3,317)</w:t>
            </w:r>
          </w:p>
        </w:tc>
        <w:tc>
          <w:tcPr>
            <w:tcW w:w="198" w:type="dxa"/>
            <w:tcBorders/>
            <w:shd w:fill="CCEEFF" w:val="clear"/>
            <w:vAlign w:val="center"/>
          </w:tcPr>
          <w:p>
            <w:pPr>
              <w:pStyle w:val="TableContents"/>
              <w:bidi w:val="0"/>
              <w:spacing w:lineRule="auto" w:line="285" w:before="0" w:after="0"/>
              <w:ind w:left="0" w:right="0" w:hanging="0"/>
              <w:jc w:val="left"/>
              <w:rPr/>
            </w:pPr>
            <w:r>
              <w:rPr/>
              <w:t>​</w:t>
            </w:r>
          </w:p>
        </w:tc>
      </w:tr>
      <w:tr>
        <w:trPr/>
        <w:tc>
          <w:tcPr>
            <w:tcW w:w="365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26"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 </w:t>
            </w:r>
          </w:p>
        </w:tc>
        <w:tc>
          <w:tcPr>
            <w:tcW w:w="1054"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 </w:t>
            </w:r>
          </w:p>
        </w:tc>
        <w:tc>
          <w:tcPr>
            <w:tcW w:w="1054"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40" w:type="dxa"/>
            <w:tcBorders/>
            <w:vAlign w:val="center"/>
          </w:tcPr>
          <w:p>
            <w:pPr>
              <w:pStyle w:val="TableContents"/>
              <w:bidi w:val="0"/>
              <w:spacing w:lineRule="auto" w:line="285" w:before="0" w:after="0"/>
              <w:ind w:left="0" w:right="0" w:hanging="0"/>
              <w:jc w:val="right"/>
              <w:rPr/>
            </w:pPr>
            <w:r>
              <w:rPr/>
              <w:t>​</w:t>
            </w:r>
          </w:p>
        </w:tc>
        <w:tc>
          <w:tcPr>
            <w:tcW w:w="327"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40" w:type="dxa"/>
            <w:tcBorders/>
            <w:vAlign w:val="center"/>
          </w:tcPr>
          <w:p>
            <w:pPr>
              <w:pStyle w:val="TableContents"/>
              <w:bidi w:val="0"/>
              <w:spacing w:lineRule="auto" w:line="285" w:before="0" w:after="0"/>
              <w:ind w:left="0" w:right="0" w:hanging="0"/>
              <w:jc w:val="right"/>
              <w:rPr/>
            </w:pPr>
            <w:r>
              <w:rPr/>
              <w:t>​</w:t>
            </w:r>
          </w:p>
        </w:tc>
        <w:tc>
          <w:tcPr>
            <w:tcW w:w="198" w:type="dxa"/>
            <w:tcBorders/>
            <w:vAlign w:val="center"/>
          </w:tcPr>
          <w:p>
            <w:pPr>
              <w:pStyle w:val="TableContents"/>
              <w:bidi w:val="0"/>
              <w:spacing w:lineRule="auto" w:line="285" w:before="0" w:after="0"/>
              <w:ind w:left="0" w:right="0" w:hanging="0"/>
              <w:jc w:val="left"/>
              <w:rPr/>
            </w:pPr>
            <w:r>
              <w:rPr/>
              <w:t>​</w:t>
            </w:r>
          </w:p>
        </w:tc>
      </w:tr>
      <w:tr>
        <w:trPr/>
        <w:tc>
          <w:tcPr>
            <w:tcW w:w="365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31,047,801</w:t>
            </w:r>
          </w:p>
        </w:tc>
        <w:tc>
          <w:tcPr>
            <w:tcW w:w="331"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30,906,777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31,006,304</w:t>
            </w:r>
          </w:p>
        </w:tc>
        <w:tc>
          <w:tcPr>
            <w:tcW w:w="327"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30,845,076</w:t>
            </w:r>
          </w:p>
        </w:tc>
        <w:tc>
          <w:tcPr>
            <w:tcW w:w="198" w:type="dxa"/>
            <w:tcBorders/>
            <w:shd w:fill="CCEEFF" w:val="clear"/>
            <w:vAlign w:val="center"/>
          </w:tcPr>
          <w:p>
            <w:pPr>
              <w:pStyle w:val="TableContents"/>
              <w:bidi w:val="0"/>
              <w:spacing w:lineRule="auto" w:line="285" w:before="0" w:after="0"/>
              <w:ind w:left="0" w:right="0" w:hanging="0"/>
              <w:jc w:val="left"/>
              <w:rPr/>
            </w:pPr>
            <w:r>
              <w:rPr/>
              <w:t>​</w:t>
            </w:r>
          </w:p>
        </w:tc>
      </w:tr>
      <w:tr>
        <w:trPr/>
        <w:tc>
          <w:tcPr>
            <w:tcW w:w="365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Dilutive common stock options, restricted stock unit awards and restricted stock awards</w:t>
            </w:r>
          </w:p>
        </w:tc>
        <w:tc>
          <w:tcPr>
            <w:tcW w:w="326"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7"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8" w:type="dxa"/>
            <w:tcBorders/>
            <w:vAlign w:val="center"/>
          </w:tcPr>
          <w:p>
            <w:pPr>
              <w:pStyle w:val="TableContents"/>
              <w:bidi w:val="0"/>
              <w:spacing w:lineRule="auto" w:line="285" w:before="0" w:after="0"/>
              <w:ind w:left="0" w:right="0" w:hanging="0"/>
              <w:jc w:val="left"/>
              <w:rPr/>
            </w:pPr>
            <w:r>
              <w:rPr/>
              <w:t>​</w:t>
            </w:r>
          </w:p>
        </w:tc>
      </w:tr>
      <w:tr>
        <w:trPr/>
        <w:tc>
          <w:tcPr>
            <w:tcW w:w="365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31,047,801</w:t>
            </w:r>
          </w:p>
        </w:tc>
        <w:tc>
          <w:tcPr>
            <w:tcW w:w="331"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30,906,777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31,006,304</w:t>
            </w:r>
          </w:p>
        </w:tc>
        <w:tc>
          <w:tcPr>
            <w:tcW w:w="327"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30,845,076</w:t>
            </w:r>
          </w:p>
        </w:tc>
        <w:tc>
          <w:tcPr>
            <w:tcW w:w="198" w:type="dxa"/>
            <w:tcBorders/>
            <w:shd w:fill="CCEEFF" w:val="clear"/>
            <w:vAlign w:val="center"/>
          </w:tcPr>
          <w:p>
            <w:pPr>
              <w:pStyle w:val="TableContents"/>
              <w:bidi w:val="0"/>
              <w:spacing w:lineRule="auto" w:line="285" w:before="0" w:after="0"/>
              <w:ind w:left="0" w:right="0" w:hanging="0"/>
              <w:jc w:val="left"/>
              <w:rPr/>
            </w:pPr>
            <w:r>
              <w:rPr/>
              <w:t>​</w:t>
            </w:r>
          </w:p>
        </w:tc>
      </w:tr>
      <w:tr>
        <w:trPr/>
        <w:tc>
          <w:tcPr>
            <w:tcW w:w="365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 loss per share of common stock</w:t>
            </w:r>
          </w:p>
        </w:tc>
        <w:tc>
          <w:tcPr>
            <w:tcW w:w="326"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31"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27"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198" w:type="dxa"/>
            <w:tcBorders/>
            <w:vAlign w:val="center"/>
          </w:tcPr>
          <w:p>
            <w:pPr>
              <w:pStyle w:val="TableContents"/>
              <w:bidi w:val="0"/>
              <w:spacing w:lineRule="auto" w:line="285" w:before="0" w:after="0"/>
              <w:ind w:left="0" w:right="0" w:hanging="0"/>
              <w:jc w:val="left"/>
              <w:rPr/>
            </w:pPr>
            <w:r>
              <w:rPr/>
              <w:t>​</w:t>
            </w:r>
          </w:p>
        </w:tc>
      </w:tr>
      <w:tr>
        <w:trPr/>
        <w:tc>
          <w:tcPr>
            <w:tcW w:w="365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 loss per share of common stock</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31"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27"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198"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had a net loss for the three and nine months ended September 30, 2025, and 2024. As a result, all stock options, restricted stock unit awards and restricted stock awards were anti-dilutive and excluded from weighted average shares used in determining the diluted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bookmarkStart w:id="941" w:name="Tc_Jp1H6sRKb0iFzo-OL0EXkw_4_3"/>
      <w:bookmarkStart w:id="942" w:name="Tc_Dc087UpMzkmR2S6hdw1_hw_4_0"/>
      <w:bookmarkStart w:id="943" w:name="Tc_oV9OhFYaLUSe1axLQZk0BA_3_3"/>
      <w:bookmarkStart w:id="944" w:name="Tc_kuAc-0kHhkSNn__APsvRyA_3_0"/>
      <w:bookmarkStart w:id="945" w:name="Tc_4lIPCzLz2kCW9Dvj_Xlg-w_2_12"/>
      <w:bookmarkStart w:id="946" w:name="Tc_FJFgSddKm0qha75wMRBjgg_2_9"/>
      <w:bookmarkStart w:id="947" w:name="Tc_L0QzNy8lxkesYzh8mf052g_2_5"/>
      <w:bookmarkStart w:id="948" w:name="Tc_PETt8q32akmzd6m3SRDr6g_2_2"/>
      <w:bookmarkStart w:id="949" w:name="Tc_vyjpUfjGFEa15H_Pb8tunQ_1_9"/>
      <w:bookmarkStart w:id="950" w:name="Tc_mnRN1HT93UmdlvwGrFEeGQ_1_2"/>
      <w:bookmarkEnd w:id="941"/>
      <w:bookmarkEnd w:id="942"/>
      <w:bookmarkEnd w:id="943"/>
      <w:bookmarkEnd w:id="944"/>
      <w:bookmarkEnd w:id="945"/>
      <w:bookmarkEnd w:id="946"/>
      <w:bookmarkEnd w:id="947"/>
      <w:bookmarkEnd w:id="948"/>
      <w:bookmarkEnd w:id="949"/>
      <w:bookmarkEnd w:id="950"/>
      <w:r>
        <w:rPr>
          <w:rFonts w:ascii="Times New Roman;Times;serif" w:hAnsi="Times New Roman;Times;serif"/>
          <w:sz w:val="20"/>
        </w:rPr>
        <w:t>loss per share of common stock for those periods. There were no potentially dilutive securities during the three months ended September 30, 2025.</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following weighted average numbers of stock options, restricted stock unit awards and restricted stock awards have been excluded from the calculation of diluted loss per share of common stock, as their effect would be anti-dilutive for the three and nine months ended September 30, 2025 and 2024:</w:t>
      </w:r>
    </w:p>
    <w:p>
      <w:pPr>
        <w:pStyle w:val="TextBody"/>
        <w:bidi w:val="0"/>
        <w:spacing w:lineRule="auto" w:line="285" w:before="0" w:after="0"/>
        <w:ind w:left="0" w:right="0" w:hanging="0"/>
        <w:jc w:val="left"/>
        <w:rPr/>
      </w:pPr>
      <w:r>
        <w:rPr/>
        <w:t>​</w:t>
      </w:r>
    </w:p>
    <w:tbl>
      <w:tblPr>
        <w:tblW w:w="8577" w:type="dxa"/>
        <w:jc w:val="left"/>
        <w:tblInd w:w="0" w:type="dxa"/>
        <w:tblLayout w:type="fixed"/>
        <w:tblCellMar>
          <w:top w:w="0" w:type="dxa"/>
          <w:left w:w="0" w:type="dxa"/>
          <w:bottom w:w="0" w:type="dxa"/>
          <w:right w:w="0" w:type="dxa"/>
        </w:tblCellMar>
      </w:tblPr>
      <w:tblGrid>
        <w:gridCol w:w="1876"/>
        <w:gridCol w:w="326"/>
        <w:gridCol w:w="204"/>
        <w:gridCol w:w="649"/>
        <w:gridCol w:w="612"/>
        <w:gridCol w:w="204"/>
        <w:gridCol w:w="1269"/>
        <w:gridCol w:w="109"/>
        <w:gridCol w:w="326"/>
        <w:gridCol w:w="163"/>
        <w:gridCol w:w="1016"/>
        <w:gridCol w:w="490"/>
        <w:gridCol w:w="163"/>
        <w:gridCol w:w="1016"/>
        <w:gridCol w:w="154"/>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91260" cy="175260"/>
                      <wp:effectExtent l="0" t="0" r="0" b="0"/>
                      <wp:wrapNone/>
                      <wp:docPr id="197" name="Frame197"/>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9540" cy="175260"/>
                      <wp:effectExtent l="0" t="0" r="0" b="0"/>
                      <wp:wrapNone/>
                      <wp:docPr id="199" name="Frame199"/>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12115" cy="175260"/>
                      <wp:effectExtent l="0" t="0" r="0" b="0"/>
                      <wp:wrapNone/>
                      <wp:docPr id="200" name="Frame200"/>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88620" cy="175260"/>
                      <wp:effectExtent l="0" t="0" r="0" b="0"/>
                      <wp:wrapNone/>
                      <wp:docPr id="201" name="Frame201"/>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9540" cy="175260"/>
                      <wp:effectExtent l="0" t="0" r="0" b="0"/>
                      <wp:wrapNone/>
                      <wp:docPr id="202" name="Frame202"/>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05815" cy="175260"/>
                      <wp:effectExtent l="0" t="0" r="0" b="0"/>
                      <wp:wrapNone/>
                      <wp:docPr id="203" name="Frame203"/>
                      <a:graphic xmlns:a="http://schemas.openxmlformats.org/drawingml/2006/main">
                        <a:graphicData uri="http://schemas.microsoft.com/office/word/2010/wordprocessingShape">
                          <wps:wsp>
                            <wps:cNvSpPr txBox="1"/>
                            <wps:spPr>
                              <a:xfrm>
                                <a:off x="0" y="0"/>
                                <a:ext cx="805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03505" cy="175260"/>
                      <wp:effectExtent l="0" t="0" r="0" b="0"/>
                      <wp:wrapNone/>
                      <wp:docPr id="206" name="Frame206"/>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5160" cy="175260"/>
                      <wp:effectExtent l="0" t="0" r="0" b="0"/>
                      <wp:wrapNone/>
                      <wp:docPr id="207" name="Frame207"/>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11150" cy="175260"/>
                      <wp:effectExtent l="0" t="0" r="0" b="0"/>
                      <wp:wrapNone/>
                      <wp:docPr id="208" name="Frame208"/>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03505" cy="175260"/>
                      <wp:effectExtent l="0" t="0" r="0" b="0"/>
                      <wp:wrapNone/>
                      <wp:docPr id="209" name="Frame209"/>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5160" cy="175260"/>
                      <wp:effectExtent l="0" t="0" r="0" b="0"/>
                      <wp:wrapNone/>
                      <wp:docPr id="210" name="Frame210"/>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7790" cy="175260"/>
                      <wp:effectExtent l="0" t="0" r="0" b="0"/>
                      <wp:wrapNone/>
                      <wp:docPr id="211" name="Frame2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93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109"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84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8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612" w:type="dxa"/>
            <w:tcBorders/>
            <w:vAlign w:val="center"/>
          </w:tcPr>
          <w:p>
            <w:pPr>
              <w:pStyle w:val="TableContents"/>
              <w:bidi w:val="0"/>
              <w:spacing w:lineRule="auto" w:line="285" w:before="0" w:after="0"/>
              <w:ind w:left="0" w:right="0" w:hanging="0"/>
              <w:jc w:val="left"/>
              <w:rPr/>
            </w:pPr>
            <w:r>
              <w:rPr/>
              <w:t>    </w:t>
            </w:r>
          </w:p>
        </w:tc>
        <w:tc>
          <w:tcPr>
            <w:tcW w:w="147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7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90" w:type="dxa"/>
            <w:tcBorders/>
            <w:vAlign w:val="center"/>
          </w:tcPr>
          <w:p>
            <w:pPr>
              <w:pStyle w:val="TableContents"/>
              <w:bidi w:val="0"/>
              <w:spacing w:lineRule="auto" w:line="285" w:before="0" w:after="0"/>
              <w:ind w:left="0" w:right="0" w:hanging="0"/>
              <w:jc w:val="left"/>
              <w:rPr/>
            </w:pPr>
            <w:r>
              <w:rPr/>
              <w:t>    </w:t>
            </w:r>
          </w:p>
        </w:tc>
        <w:tc>
          <w:tcPr>
            <w:tcW w:w="117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12" w:type="dxa"/>
            <w:tcBorders/>
            <w:shd w:fill="CCEEFF" w:val="clear"/>
            <w:vAlign w:val="center"/>
          </w:tcPr>
          <w:p>
            <w:pPr>
              <w:pStyle w:val="TableContents"/>
              <w:bidi w:val="0"/>
              <w:spacing w:lineRule="auto" w:line="285"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94,532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57,924</w:t>
            </w:r>
          </w:p>
        </w:tc>
        <w:tc>
          <w:tcPr>
            <w:tcW w:w="490" w:type="dxa"/>
            <w:tcBorders/>
            <w:shd w:fill="CCEEFF" w:val="clear"/>
            <w:vAlign w:val="center"/>
          </w:tcPr>
          <w:p>
            <w:pPr>
              <w:pStyle w:val="TableContents"/>
              <w:bidi w:val="0"/>
              <w:spacing w:lineRule="auto" w:line="285" w:before="0" w:after="0"/>
              <w:ind w:left="0" w:right="0" w:hanging="0"/>
              <w:jc w:val="left"/>
              <w:rPr/>
            </w:pPr>
            <w:r>
              <w:rPr/>
              <w:t>​</w:t>
            </w:r>
          </w:p>
        </w:tc>
        <w:tc>
          <w:tcPr>
            <w:tcW w:w="1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32,799</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lineRule="auto" w:line="285" w:before="0" w:after="0"/>
              <w:ind w:left="0" w:right="0" w:hanging="0"/>
              <w:jc w:val="right"/>
              <w:rPr/>
            </w:pPr>
            <w:r>
              <w:rPr/>
              <w:t>​</w:t>
            </w:r>
          </w:p>
        </w:tc>
        <w:tc>
          <w:tcPr>
            <w:tcW w:w="20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12" w:type="dxa"/>
            <w:tcBorders/>
            <w:vAlign w:val="center"/>
          </w:tcPr>
          <w:p>
            <w:pPr>
              <w:pStyle w:val="TableContents"/>
              <w:bidi w:val="0"/>
              <w:spacing w:lineRule="auto" w:line="285"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6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94,532</w:t>
            </w:r>
          </w:p>
        </w:tc>
        <w:tc>
          <w:tcPr>
            <w:tcW w:w="109"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57,924</w:t>
            </w:r>
          </w:p>
        </w:tc>
        <w:tc>
          <w:tcPr>
            <w:tcW w:w="490" w:type="dxa"/>
            <w:tcBorders/>
            <w:vAlign w:val="center"/>
          </w:tcPr>
          <w:p>
            <w:pPr>
              <w:pStyle w:val="TableContents"/>
              <w:bidi w:val="0"/>
              <w:spacing w:lineRule="auto" w:line="285" w:before="0" w:after="0"/>
              <w:ind w:left="0" w:right="0" w:hanging="0"/>
              <w:jc w:val="left"/>
              <w:rPr/>
            </w:pPr>
            <w:r>
              <w:rPr/>
              <w:t>​</w:t>
            </w:r>
          </w:p>
        </w:tc>
        <w:tc>
          <w:tcPr>
            <w:tcW w:w="1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32,799</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2"/>
        </w:rPr>
        <w:t>10</w:t>
      </w:r>
      <w:r>
        <w:rPr>
          <w:rFonts w:ascii="Times New Roman;Times;serif" w:hAnsi="Times New Roman;Times;serif"/>
          <w:b/>
          <w:sz w:val="20"/>
        </w:rPr>
        <w:t>. INCOME TAXES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For the three and nine months ended September 30, 2025, the Company’s effective tax rates were -0.9% and -0.2%, respectively. For the three and nine months ended September 30, 2024, the Company’s effective tax rates were 0.6% and -1.1%, respectively. The Company’s nominal effective tax rate for the periods above was due to the presence of net operating loss carryovers and adjustments to the valuation allowance on deferred tax assets.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assesses the available positive and negative evidence to estimate whether sufficient future taxable income will be generated to permit the use of the existing deferred tax assets. A significant piece of objective negative evidence evaluated was the cumulative loss incurred over an extended amount of time. Such objective evidence limits the ability to consider other subjective evidence, such as projections for taxable earnings.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Company has recorded valuation allowances against the associated deferred tax assets for the amounts it deems are not more likely than not realizable. Based on management’s belief that not all the net operating losses are realizable, a federal valuation allowance and additional state valuation allowances were maintained during the three and nine months ended September 30, 2025 and 2024. In addition, due to the Company’s recent operating losses and valuation allowances, the Company may recognize reduced or no tax benefits on future losses on the condensed consolidated financial statements. The amount of the valuation allowances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projections for future growth.</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11. SUPPLEMENTAL CONSOLIDATED FINANCIAL STATEMENT INFORMATION</w:t>
      </w:r>
    </w:p>
    <w:p>
      <w:pPr>
        <w:pStyle w:val="TextBody"/>
        <w:bidi w:val="0"/>
        <w:spacing w:lineRule="auto" w:line="285" w:before="240" w:after="240"/>
        <w:ind w:left="0" w:right="0" w:hanging="0"/>
        <w:jc w:val="left"/>
        <w:rPr>
          <w:rFonts w:ascii="Times New Roman;Times;serif" w:hAnsi="Times New Roman;Times;serif"/>
          <w:b/>
          <w:sz w:val="20"/>
        </w:rPr>
      </w:pPr>
      <w:r>
        <w:rPr>
          <w:rFonts w:ascii="Times New Roman;Times;serif" w:hAnsi="Times New Roman;Times;serif"/>
          <w:b/>
          <w:sz w:val="20"/>
        </w:rPr>
        <w:t>Contract Assets (in thousands)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Contract assets were $0.4 million and $4.3 million at January 1, 2025 and 2024, respectively. The Company’s contract assets incurred to fulfill contracts with customers at September 30, 2025 and 2024, were $2.4 million and $0.4 million, respectively.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Contract assets at September 30, 2025, compared to January 1, 2025, increased primarily as a result of new projects for clients with large third party reimbursables where data had not yet been recorded. Contract assets at September 30, 2024, compared to January 1, 2024, decreased primarily as a result of the completion of several projects during that nine month period that had deferred fulfillment costs at January 1, 2025.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amount of total contract assets amortized for the nine months ended September 30, 2025, and 2024, was $10.1 million and $22.7 million, respectively. There were no material impairment losses incurred during these periods.</w:t>
      </w:r>
    </w:p>
    <w:p>
      <w:pPr>
        <w:pStyle w:val="TextBody"/>
        <w:bidi w:val="0"/>
        <w:spacing w:lineRule="auto" w:line="285" w:before="240" w:after="240"/>
        <w:ind w:left="0" w:right="0" w:hanging="0"/>
        <w:jc w:val="left"/>
        <w:rPr>
          <w:rFonts w:ascii="Times New Roman;Times;serif" w:hAnsi="Times New Roman;Times;serif"/>
          <w:b/>
          <w:sz w:val="20"/>
        </w:rPr>
      </w:pPr>
      <w:r>
        <w:rPr>
          <w:rFonts w:ascii="Times New Roman;Times;serif" w:hAnsi="Times New Roman;Times;serif"/>
          <w:b/>
          <w:sz w:val="20"/>
        </w:rPr>
        <w:t>Deferred Revenue (in thousands)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Deferred revenue was $1.6 million and $11.8 million at January 1, 2025 and 2024, respectively. The Company’s deferred revenue at September 30, 2025 and 2024 was $3.7 million and $0.7 million, respectively.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Deferred revenue at September 30, 2025 compared to January 1, 2025 increased primarily as a result of new projects for clients with large third party reimbursables where data had not yet been recorded. Deferred revenue at September 30, 2024, compared to January 1, 2024, decreased primarily as a result of completing projects for clients with prepayments for third party reimbursables.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Revenue recognized for the nine months ended September 30, 2025 and 2024 that was included in the contract liability balance at the beginning of 2025 and 2024 was $1.6 million and $11.8 million, respectively. </w:t>
      </w:r>
    </w:p>
    <w:p>
      <w:pPr>
        <w:pStyle w:val="TextBody"/>
        <w:bidi w:val="0"/>
        <w:spacing w:lineRule="auto" w:line="285" w:before="240" w:after="240"/>
        <w:ind w:left="0" w:right="0" w:hanging="0"/>
        <w:jc w:val="left"/>
        <w:rPr>
          <w:rFonts w:ascii="Times New Roman;Times;serif" w:hAnsi="Times New Roman;Times;serif"/>
          <w:b/>
          <w:sz w:val="20"/>
        </w:rPr>
      </w:pPr>
      <w:r>
        <w:rPr>
          <w:rFonts w:ascii="Times New Roman;Times;serif" w:hAnsi="Times New Roman;Times;serif"/>
          <w:b/>
          <w:sz w:val="20"/>
        </w:rPr>
        <w:t>Accounts Receivable (in thousands)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Accounts receivable related to contracts with customers was $9.9 million and $12.5 million at January 1, 2025 and 2024, respectively.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Accounts receivable related to contracts with customers was $2.1 million and $2.8 million at September 30, 2025 and 2024, respectively.</w:t>
      </w:r>
    </w:p>
    <w:p>
      <w:pPr>
        <w:pStyle w:val="TextBody"/>
        <w:bidi w:val="0"/>
        <w:spacing w:lineRule="auto" w:line="285" w:before="24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For the three and nine months ended September 30, 2025, the Company incurred related party expenses totaling approximately $33,000 and $128,000, respectively. These are charges by various commonly controlled companies of Wilks Brothers, LLC, the holder of approximately 80% of the Company’s outstanding stock. All transactions for the year consisted of trucking charges. As of September 30, 2025, the Company had approximately $19,000 outstanding related party accounts payable.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For the three and nine months ended September 30, 2024, the Company incurred related party expenses totaling approximately $20,000 and $132,000, respectively. These transactions consisted of trucking charges of $117,000, merger-related charges of $6,000 and client hosting expenses of $9,000. For the three and nine months ended September 30, 2024, the Company received related party revenue of $8,000 and $22,000, respectively, for partial use of leased office space.</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2"/>
        </w:rPr>
        <w:t>12</w:t>
      </w:r>
      <w:r>
        <w:rPr>
          <w:rFonts w:ascii="Times New Roman;Times;serif" w:hAnsi="Times New Roman;Times;serif"/>
          <w:b/>
          <w:sz w:val="20"/>
        </w:rPr>
        <w:t>. SUBSEQUENT EVENTS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Geospace Notes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Following the execution of the Equipment Purchase Agreement, the parties agreed to deliver a portion of the third delivery ahead of the originally scheduled date, and an additional Geospace Note was issued in connection with the additional delivery. On October 28, 2025, the Company executed the Third Geospace Note for approximately $3.5 million. On November 3, 2025, the Company received the remainder of its originally scheduled third delivery of nodal equipment and a Geospace Note was issued in connection with the delivery for approximately $3.5 million. Both notes have terms of 36 months with interest rates of 8.75% and will have combined monthly payments of principal and interest totaling approximately $222,000 per month.</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Revolving Credit Note </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On October 31, 2025, Dawson Geophysical Company and Dawson Operating, as borrowers (the “</w:t>
      </w:r>
      <w:r>
        <w:rPr>
          <w:rFonts w:ascii="Times New Roman;Times;serif" w:hAnsi="Times New Roman;Times;serif"/>
          <w:b/>
          <w:sz w:val="20"/>
        </w:rPr>
        <w:t>Borrowers</w:t>
      </w:r>
      <w:r>
        <w:rPr>
          <w:rFonts w:ascii="Times New Roman;Times;serif" w:hAnsi="Times New Roman;Times;serif"/>
          <w:sz w:val="20"/>
        </w:rPr>
        <w:t>”), entered into a Revolving Credit Note (the “</w:t>
      </w:r>
      <w:r>
        <w:rPr>
          <w:rFonts w:ascii="Times New Roman;Times;serif" w:hAnsi="Times New Roman;Times;serif"/>
          <w:b/>
          <w:sz w:val="20"/>
        </w:rPr>
        <w:t>Revolving Credit Note</w:t>
      </w:r>
      <w:r>
        <w:rPr>
          <w:rFonts w:ascii="Times New Roman;Times;serif" w:hAnsi="Times New Roman;Times;serif"/>
          <w:sz w:val="20"/>
        </w:rPr>
        <w:t>”) in favor of Equify Financial, as lender (the “</w:t>
      </w:r>
      <w:r>
        <w:rPr>
          <w:rFonts w:ascii="Times New Roman;Times;serif" w:hAnsi="Times New Roman;Times;serif"/>
          <w:b/>
          <w:sz w:val="20"/>
        </w:rPr>
        <w:t>Lender</w:t>
      </w:r>
      <w:r>
        <w:rPr>
          <w:rFonts w:ascii="Times New Roman;Times;serif" w:hAnsi="Times New Roman;Times;serif"/>
          <w:sz w:val="20"/>
        </w:rPr>
        <w:t>”), a related party affiliated through common control. </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The Borrowers may prepay up to 75% of the then outstanding principal and accrued but unpaid interest at any time without a prepayment fee. The obligations under the Revolving Credit Note are secured by a lien on the Company’s vibrator energy source vehicles, pursuant to a Security Agreement by and between the Company and Lender, dated as of October 31, 2025.</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All outstanding amounts owed under the Revolving Credit Note become due and payable no later than the maturity date of November 20, 2028, and are subject to acceleration upon the occurrence of events of default which the Company considers usual and customary for an agreement of this type, including failure to make payments under the Revolving Credit Note, non-performance of covenants and obligations or insolvency or bankruptcy (as defined in the Revolving Credit Note).</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Executive Stock Compensation Agreement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October 27, 2025, the Compensation Committee of the Board of Directors granted 150,000 restricted stock units to Tony Clark, President and Chief Executive Officer and 100,000 restricted stock units to Ray Mays, Executive Vice President and Chief Operating Officer. The restricted stock units vest over three years with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third vesting on the first anniversary date,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third vesting on the second anniversary date and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third vesting on the third anniversary date. </w:t>
      </w:r>
    </w:p>
    <w:p>
      <w:pPr>
        <w:pStyle w:val="TextBody"/>
        <w:bidi w:val="0"/>
        <w:spacing w:lineRule="auto" w:line="285" w:before="0" w:after="240"/>
        <w:ind w:left="0" w:right="0" w:hanging="0"/>
        <w:jc w:val="both"/>
        <w:rPr>
          <w:rFonts w:ascii="Times New Roman;Times;serif" w:hAnsi="Times New Roman;Times;serif"/>
          <w:b/>
          <w:sz w:val="20"/>
        </w:rPr>
      </w:pPr>
      <w:bookmarkStart w:id="951" w:name="ITEM2MANAGEMENTSDISCUSSIONANDANALYSIS_23"/>
      <w:bookmarkStart w:id="952" w:name="_b418a39a_396d_46b7_9258_45792072c999"/>
      <w:bookmarkEnd w:id="951"/>
      <w:bookmarkEnd w:id="952"/>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Statements other than statements of historical fact included in this Form 10-Q that relate to forecasts, estimates or other expectations regarding future events, including without limitation, statements under “Management’s Discussion and Analysis of Financial Condition and Results of Operations” and “Business” regarding technological advancements and our financial position, business strategy, and plans and objectives of our management for future operations, may be deemed to be forward-looking statements within the meaning of Section 27A of the Securities Act of 1933, as amended (the “Securities Act”) and Section 21E of the Securities Exchange Act of 1934, as amended (the “Exchange Act”). Forward-looking statements generally relate to future events or the Company’s future financial or operating performance and may be identified by words such as “may,” “should,” “expect,” “intend,” “will,” “estimate,” “anticipate,” “believe,” “predict,” or similar words.  Such statements include, but are not limited to, statements about the Company’s future financial or operating performance, statements of the Company’s position in the marketplace; statements about the Company’s growth potential and strategies for growth;  statements about the Company’s ability to realize the benefits expected from the new single node channels; and any indication that the Company may be able to sustain or increase its sales, earnings or earnings per share, or its sales, earnings or earnings per share growth rates.  Such forward-looking statements are based on the beliefs of our management, as well as assumptions made by and information currently available to management. Actual results could differ materially from those contemplated by the forward-looking statements as a result of certain factors. These factors include, but are not limited to, risks relating to the efficacy of the purchased single node channels; the risk that the delivery of the equipment may not be delivered in a timely manner or at all; the Company’s ability to execute its business strategies and plans for growth; the failure to operationalize the acquired equipment in a timely manner or at all; risks associated with the Company’s ability to finance the transaction contemplated by the Purchase Agreement; our status as a controlled public company, which exempts us from certain corporate governance requirements; the limited market for our common stock; the impact of general economic, industry, market or political conditions, including tariffs; dependence upon energy industry spending; changes in exploration and production spending by our customers and changes in the level of oil and natural gas exploration and development; the results of operations and financial condition of our customers, particularly during extended periods of low prices for crude oil and natural gas; the volatility of oil and natural gas prices and markets; changes in economic conditions; surplus in the supply of oil and the ability of the Organization of the Petroleum Exporting Countries and its allies, collectively known as OPEC+, to agree on and comply with supply limitations; the potential for contract delays; reductions or cancellations of service contracts; limited number of customers; credit risk related to our customers; reduced utilization; high fixed costs of operations and high capital requirements; industry competition; external factors affecting the Company’s crews such as weather interruptions and inability to obtain land access rights of way; whether the Company enters into turnkey or day rate contracts; crew productivity;  risks that the Company’s cash reserves, liquidity or capital resources may be insufficient;  risks related to our indebtedness and compliance with covenants contained in our revolving credit note; the Company’s ability to execute its business strategies and plans for growth; the failure to operationalize the new single node channels in a timely manner or at all; disruptions in the global economy, including unrest in the Middle East, export controls and financial and economic sanctions imposed on certain industry sectors and parties as a result of the developments in Ukraine and related activities, and whether or not a future transaction or other action occurs that causes the Company to be delisted from Nasdaq and no longer be required to make filings with the Securities and Exchange Commission (the “SEC”). The cautionary statements made in this Form 10-Q should be read as applying to all related forward-looking statements wherever they appear in this Form 10-Q. All subsequent written and oral forward-looking statements attributable to us or persons acting on our behalf are expressly qualified in their entirety by this paragraph. A discussion of these and other factors, including risks and uncertainties, is set forth in the Company’s Annual Report on Form 10-K that was filed with the SEC on April 2, 2025 and any subsequent Quarterly Reports on Form 10-Q filed with the SEC. The Company disclaims any intention or obligation to revise any forward-looking statements, whether as a result of new information, future events or otherwise. </w:t>
      </w:r>
    </w:p>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are a leading provider of North American onshore seismic data acquisition services with operations throughout the continental U.S. and Canada. Substantially all of our revenues are derived from the seismic data acquisition services we provide to our clients. Our clients consist of major oil and gas companies, independent oil and gas operators, and providers of multi-client data libraries. In recent years, our primary customer base has consisted of providers of multi-client data libraries. Demand for our services depends upon the level of spending by these companies for exploration, production, development and field management activities, which depends, in a large part, on oil and natural gas prices. Significant fluctuations in domestic oil and natural gas exploration and development activities related to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commodity prices, as we have recently experienced, have affected, and will continue to affect, demand for our services and our results of operations, and such fluctuations continue to be the single most important factor affecting our business and results of operations.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August 2025, Dawson Operating LLC (“Dawson Operating”), a wholly-owned subsidiary of Dawson Geophysical Company, entered into an equipment purchase agreement with GTC, Inc. (“GTC”), a wholly-owned subsidiary of Geospace Technologies Corporation (“Geospace”), pursuant to which, among other things, Dawson Operating agreed to acquire new single point node channels from GTC in three shipments for an aggregate purchase price of approximately $24.2 million (the “Equipment Purchase Agreement”) subject to the terms and conditions thereof. The Company paid cash of approximately $4.8 million upon execution of the Equipment Purchase Agreement, agreed to pay approximately $1.2 million in cash upon final delivery, and agreed to finance approximately $18.2 million through separate promissory notes to be issued in connection with each delivery of equipment (each, a “Geospace Note” and collectively, the “Geospace Notes”). Each Geospace Note is payable by Dawson Geophysical Company and Dawson Operating, jointly and severally, to GTC. The Geospace Notes will each have a term of 36 months, bear a fixed interest rate of 8.75% annually and may be prepaid in whole or in part at any time without penalty.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As of September 30, 2025, we have taken delivery of $10.4 million of equipment and issued two Geospace Notes with an aggregate principal of approximately $7.5 million. We immediately deployed our first delivery of this equipment in August, with promising results.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 the United States, we continued to operate one large channel crew throughout the third quarter utilizing our legacy channels. That crew is scheduled to complete recording on that project in mid-November and immediately start another large channel project utilizing the new single node channels. That project is anticipated to end in the second quarter of 2026. Our seasonal operations in Canada resumed in October, and we expect them to ramp up into another successful season. We have multiple small channel crew jobs contracted in the fourth quarter in the United States and Canada and expect our revenue to continue to increase quarter-over-quarter.</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While our revenues are mainly affected by the level of client demand for our services, our revenues are also affected by the pricing for our services that we negotiate with our clients and the productivity and utilization level of our data acquisition crews. Factors impacting productivity and utilization levels include, without limitation: client demand, commodity prices, whether we enter into turnkey or dayrate contracts with our clients, the number and size of crews, the number of recording channels per crew, crew downtime related to inclement weather, delays in acquiring land access permits, agricultural or hunting activity, holiday schedules, short winter days, crew repositioning and equipment failure. Additionally, revenues for our Canadian operations are seasonally limited to the winter season due to rules regarding surface conditions. To the extent we experience these factors, our operating results may be affected from quarter to quarter. Consequently, our efforts to negotiate more favorable contract terms in our supplemental service agreements, mitigate permit access delays and improve overall crew productivity may contribute to growth in our revenues.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U.S. Fee Revenues</w:t>
      </w:r>
      <w:r>
        <w:rPr>
          <w:rFonts w:ascii="Times New Roman;Times;serif" w:hAnsi="Times New Roman;Times;serif"/>
          <w:sz w:val="20"/>
        </w:rPr>
        <w:t>. Acquisition revenues for the third quarter of 2025 increased 217.6% to $14.8 million compared to $4.7 million for the same period of 2024. The increase was primarily due to increased crew utilization. Acquisition revenues for the first nine months of 2025 decreased 17.1% to $25.9 million compared to $31.3 million for the same period of 2024. The decrease was primarily due to a decrease in crew utilization in the first quarter of 2025 compared to 2024.</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Canadian Fee Revenues. </w:t>
      </w:r>
      <w:r>
        <w:rPr>
          <w:rFonts w:ascii="Times New Roman;Times;serif" w:hAnsi="Times New Roman;Times;serif"/>
          <w:sz w:val="20"/>
        </w:rPr>
        <w:t>Acquisition revenues for the third quarter of 2025 increased to $166,000 compared to $11,000 for the same period of 2024. Acquisition revenues for the first nine months of 2025 increased 53.9% to $13.0 million compared to $8.5 million for the same period of 2024. The increase in both periods was primarily due to completion of additional projects during the third quarter of 2025 in addition to increased crew utilization for the first nine months of 2025, compared to the same period of 2024.</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Total Revenues. </w:t>
      </w:r>
      <w:r>
        <w:rPr>
          <w:rFonts w:ascii="Times New Roman;Times;serif" w:hAnsi="Times New Roman;Times;serif"/>
          <w:sz w:val="20"/>
        </w:rPr>
        <w:t>Revenues for the third quarter of 2025 were $22.7 million compared to $14.4 million for the same period of 2024. Total revenues included a decrease of $2.0 million in reimbursable revenues. Revenues for the first nine months of 2025 were $48.7 million compared to $58.5 million for the same period of 2024. Total revenues included a decrease of $9.1 million in reimbursable revenues.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U.S. Fee Operating Expenses. </w:t>
      </w:r>
      <w:r>
        <w:rPr>
          <w:rFonts w:ascii="Times New Roman;Times;serif" w:hAnsi="Times New Roman;Times;serif"/>
          <w:sz w:val="20"/>
        </w:rPr>
        <w:t>Acquisition expenses for the third quarter of 2025 increased 107.5% to $11.7 million compared to $5.7 million for the same period of 2024. The increase was primarily due to costs associated with increased crew utilization during the period. Acquisition expenses for the first nine months of 2025 decreased 11.9% to $23.1 million from $26.2 million for the same period of 2024. The decrease was primarily due to an overall decrease in crew utilization for the period.</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Canadian Fee Operating Expenses. </w:t>
      </w:r>
      <w:r>
        <w:rPr>
          <w:rFonts w:ascii="Times New Roman;Times;serif" w:hAnsi="Times New Roman;Times;serif"/>
          <w:sz w:val="20"/>
        </w:rPr>
        <w:t>Acquisition expenses for the third quarter of 2025 increased 25.0% to $0.9 million compared to $0.7 million for the same period of 2024. The increase was primarily due to an overall increase in crew production and utilization during the period. Acquisition expenses for the first nine months of 2025 increased 47.3% to $8.1 million from $5.5 million for the same period of 2024. The increase was primarily due to increased crew utilization.</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Reimbursable Revenues and Costs. </w:t>
      </w:r>
      <w:r>
        <w:rPr>
          <w:rFonts w:ascii="Times New Roman;Times;serif" w:hAnsi="Times New Roman;Times;serif"/>
          <w:sz w:val="20"/>
        </w:rPr>
        <w:t>These revenues and expenses are passed through to our clients and are job specific and vary significantly from year to year. The costs are agreed to by our clients prior to contracting with outside vendors for the various tasks.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During the third quarter of 2025, general and administrative expenses decreased 19.8% to $2.1 million compared to $2.6 million for the same period of 2024. During the first nine months of 2025 general and administrative expenses decreased 12.4% to $6.4 million compared to $7.3 million for the same period of 2024. The decrease was primarily due to our focus on cost reduction initiatives.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Depreciation and Amortization Expense</w:t>
      </w:r>
      <w:r>
        <w:rPr>
          <w:rFonts w:ascii="Times New Roman;Times;serif" w:hAnsi="Times New Roman;Times;serif"/>
          <w:sz w:val="20"/>
        </w:rPr>
        <w:t>. Depreciation and amortization expenses for the third quarter and first nine months of 2025 totaled $1.3 million and $3.8 million, respectively, compared to $1.4 million and $4.4 million for the same periods of 2024. Depreciation expenses decreased in 2025 compared to 2024 primarily due to multiple years of reduced capital expenditures. We expect depreciation expense to increase resulting from the purchase of the new single point node channels under the Equipment Purchase Agreement.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Total Operating Costs.</w:t>
      </w:r>
      <w:r>
        <w:rPr>
          <w:rFonts w:ascii="Times New Roman;Times;serif" w:hAnsi="Times New Roman;Times;serif"/>
          <w:sz w:val="20"/>
        </w:rPr>
        <w:t xml:space="preserve"> Total operating costs for the third quarter of 2025 were $23.9 million, representing a 18.6% increase from the same period of 2024. The operating expenses for the first nine months of 2025 were $51.2 million, representing a 17.8% decrease from the same period of 2024. The increase in operating expenses for the third quarter and decrease for the first nine months of 2025 compared to 2024 was primarily due to the factors described above.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xml:space="preserve">. Interest expenses for the third quarter of 2025 were $71,000, compared to 35,000 for the same period of 2024. Interest expenses for the first nine months of 2025 were $205,000 compared to $120,000 for the same period of 2024. The primary factors for the increase in interest expense for both periods is additional debt from capital leases and the addition of the Geospace equipment notes.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Income tax expenses for the third quarter and first nine months of 2025 were $10,000 and $6,000, respectively, compared to income tax benefit of $35,000 for the third quarter of 2024 and income tax expense of $36,000 for the first nine months of 2024. These amounts represent effective tax rates of -0.9% and -0.2% for the third quarter and first nine months of 2025, compared to 0.6% and -1.1% for the same periods of 2024. The Company’s nominal effective tax rate for the periods above was due to the presence of net operating loss carryovers and adjustments to the valuation allowance on deferred tax assets.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Our effective tax rates differ from the statutory federal rate of 21.0% for certain items such as state and local taxes, valuation allowances, and non-deductible expenses. For further information, see Note 10 of the Notes to the Condensed Consolidated Financial Statements.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Use of EBITDA (a Non-GAAP measure)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define EBITDA as net income (loss) plus interest expense, interest income, income taxes, depreciation and amortization expense and other unusual items. Our management uses EBITDA, further adjusted for other unusual items (Adjusted EBITDA), when applicable, as a supplemental financial measure to assess: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performance of our assets without regard to financing methods, capital structures, taxes or historical cost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performance over time in relation to other companies that own similar assets and that we believe calculate EBITDA in a similar manner; and</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assets to generate cash sufficient for us to pay potential interest costs.</w:t>
            </w:r>
          </w:p>
        </w:tc>
      </w:tr>
    </w:tbl>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also understand that such data are used by investors to assess our performance. However, the term EBITDA is not defined under generally accepted accounting principles (“GAAP”), and EBITDA is not a measure of operating income or operating performance presented in accordance with GAAP. When assessing our operating performance, investors and others should not consider this data in isolation or as a substitute for net income (loss), cash flow from operating activities or other cash flow data calculated in accordance with GAAP. In addition, our EBITDA may not be comparable to EBITDA or similarly titled measures utilized by other companies since other companies may not calculate EBITDA in the same manner as us. Further, the results presented by EBITDA cannot be achieved without incurring the costs that the measure excludes: interest, taxes, depreciation and amortization, and other unusual items. For the three and nine months ended September 30, 2025, and 2024, there were no unusual items and therefore Adjusted EBITDA and EBITDA were equal, and only EBITDA is presented.</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reconciliation of our EBITDA to our Net income (loss) and net cash provided by operating activities, which are the most directly comparable GAAP financial measures, are provided in the following tables (in thousands):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47" w:type="dxa"/>
        <w:jc w:val="left"/>
        <w:tblInd w:w="0" w:type="dxa"/>
        <w:tblLayout w:type="fixed"/>
        <w:tblCellMar>
          <w:top w:w="0" w:type="dxa"/>
          <w:left w:w="0" w:type="dxa"/>
          <w:bottom w:w="0" w:type="dxa"/>
          <w:right w:w="0" w:type="dxa"/>
        </w:tblCellMar>
      </w:tblPr>
      <w:tblGrid>
        <w:gridCol w:w="2236"/>
        <w:gridCol w:w="208"/>
        <w:gridCol w:w="542"/>
        <w:gridCol w:w="109"/>
        <w:gridCol w:w="196"/>
        <w:gridCol w:w="631"/>
        <w:gridCol w:w="109"/>
        <w:gridCol w:w="259"/>
        <w:gridCol w:w="836"/>
        <w:gridCol w:w="109"/>
        <w:gridCol w:w="196"/>
        <w:gridCol w:w="631"/>
        <w:gridCol w:w="109"/>
        <w:gridCol w:w="196"/>
        <w:gridCol w:w="631"/>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419860" cy="175260"/>
                      <wp:effectExtent l="0" t="0" r="0" b="0"/>
                      <wp:wrapNone/>
                      <wp:docPr id="212" name="Frame212"/>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44170" cy="175260"/>
                      <wp:effectExtent l="0" t="0" r="0" b="0"/>
                      <wp:wrapNone/>
                      <wp:docPr id="213" name="Frame213"/>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00685" cy="175260"/>
                      <wp:effectExtent l="0" t="0" r="0" b="0"/>
                      <wp:wrapNone/>
                      <wp:docPr id="215" name="Frame21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30860" cy="175260"/>
                      <wp:effectExtent l="0" t="0" r="0" b="0"/>
                      <wp:wrapNone/>
                      <wp:docPr id="217" name="Frame21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00685" cy="175260"/>
                      <wp:effectExtent l="0" t="0" r="0" b="0"/>
                      <wp:wrapNone/>
                      <wp:docPr id="219" name="Frame21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00685" cy="175260"/>
                      <wp:effectExtent l="0" t="0" r="0" b="0"/>
                      <wp:wrapNone/>
                      <wp:docPr id="221" name="Frame2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61340" cy="175260"/>
                      <wp:effectExtent l="0" t="0" r="0" b="0"/>
                      <wp:wrapNone/>
                      <wp:docPr id="223" name="Frame22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6011"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(5,617)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1,388</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2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(4,301)</w:t>
            </w:r>
          </w:p>
        </w:tc>
      </w:tr>
    </w:tbl>
    <w:p>
      <w:pPr>
        <w:pStyle w:val="TextBody"/>
        <w:bidi w:val="0"/>
        <w:spacing w:lineRule="auto" w:line="285" w:before="0" w:after="0"/>
        <w:ind w:left="0" w:right="0" w:firstLine="490"/>
        <w:jc w:val="both"/>
        <w:rPr/>
      </w:pPr>
      <w:r>
        <w:rPr/>
        <w:t>​</w:t>
      </w:r>
    </w:p>
    <w:tbl>
      <w:tblPr>
        <w:tblW w:w="8230" w:type="dxa"/>
        <w:jc w:val="left"/>
        <w:tblInd w:w="0" w:type="dxa"/>
        <w:tblLayout w:type="fixed"/>
        <w:tblCellMar>
          <w:top w:w="0" w:type="dxa"/>
          <w:left w:w="0" w:type="dxa"/>
          <w:bottom w:w="0" w:type="dxa"/>
          <w:right w:w="0" w:type="dxa"/>
        </w:tblCellMar>
      </w:tblPr>
      <w:tblGrid>
        <w:gridCol w:w="2236"/>
        <w:gridCol w:w="196"/>
        <w:gridCol w:w="631"/>
        <w:gridCol w:w="109"/>
        <w:gridCol w:w="216"/>
        <w:gridCol w:w="564"/>
        <w:gridCol w:w="109"/>
        <w:gridCol w:w="259"/>
        <w:gridCol w:w="83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19860" cy="175260"/>
                      <wp:effectExtent l="0" t="0" r="0" b="0"/>
                      <wp:wrapNone/>
                      <wp:docPr id="224" name="Frame224"/>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0685" cy="175260"/>
                      <wp:effectExtent l="0" t="0" r="0" b="0"/>
                      <wp:wrapNone/>
                      <wp:docPr id="225" name="Frame22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58140" cy="175260"/>
                      <wp:effectExtent l="0" t="0" r="0" b="0"/>
                      <wp:wrapNone/>
                      <wp:docPr id="227" name="Frame227"/>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30860" cy="175260"/>
                      <wp:effectExtent l="0" t="0" r="0" b="0"/>
                      <wp:wrapNone/>
                      <wp:docPr id="229" name="Frame22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00685" cy="175260"/>
                      <wp:effectExtent l="0" t="0" r="0" b="0"/>
                      <wp:wrapNone/>
                      <wp:docPr id="231" name="Frame23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58140" cy="175260"/>
                      <wp:effectExtent l="0" t="0" r="0" b="0"/>
                      <wp:wrapNone/>
                      <wp:docPr id="233" name="Frame233"/>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61340" cy="175260"/>
                      <wp:effectExtent l="0" t="0" r="0" b="0"/>
                      <wp:wrapNone/>
                      <wp:docPr id="235" name="Frame23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94"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3,273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(3,317)</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3,218</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576</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3,794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3,611</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772</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4,383</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932</w:t>
            </w:r>
          </w:p>
        </w:tc>
      </w:tr>
    </w:tbl>
    <w:p>
      <w:pPr>
        <w:pStyle w:val="TextBody"/>
        <w:bidi w:val="0"/>
        <w:spacing w:lineRule="auto" w:line="285" w:before="0" w:after="0"/>
        <w:ind w:left="0" w:right="0" w:firstLine="490"/>
        <w:jc w:val="both"/>
        <w:rPr/>
      </w:pPr>
      <w:r>
        <w:rPr/>
        <w:t>​</w:t>
      </w:r>
    </w:p>
    <w:tbl>
      <w:tblPr>
        <w:tblW w:w="9222" w:type="dxa"/>
        <w:jc w:val="left"/>
        <w:tblInd w:w="0" w:type="dxa"/>
        <w:tblLayout w:type="fixed"/>
        <w:tblCellMar>
          <w:top w:w="0" w:type="dxa"/>
          <w:left w:w="0" w:type="dxa"/>
          <w:bottom w:w="0" w:type="dxa"/>
          <w:right w:w="0" w:type="dxa"/>
        </w:tblCellMar>
      </w:tblPr>
      <w:tblGrid>
        <w:gridCol w:w="3181"/>
        <w:gridCol w:w="196"/>
        <w:gridCol w:w="631"/>
        <w:gridCol w:w="109"/>
        <w:gridCol w:w="196"/>
        <w:gridCol w:w="631"/>
        <w:gridCol w:w="109"/>
        <w:gridCol w:w="259"/>
        <w:gridCol w:w="836"/>
        <w:gridCol w:w="109"/>
        <w:gridCol w:w="196"/>
        <w:gridCol w:w="631"/>
        <w:gridCol w:w="109"/>
        <w:gridCol w:w="221"/>
        <w:gridCol w:w="559"/>
        <w:gridCol w:w="109"/>
        <w:gridCol w:w="256"/>
        <w:gridCol w:w="88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19935" cy="175260"/>
                      <wp:effectExtent l="0" t="0" r="0" b="0"/>
                      <wp:wrapNone/>
                      <wp:docPr id="236" name="Frame236"/>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00685" cy="175260"/>
                      <wp:effectExtent l="0" t="0" r="0" b="0"/>
                      <wp:wrapNone/>
                      <wp:docPr id="237" name="Frame23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00685" cy="175260"/>
                      <wp:effectExtent l="0" t="0" r="0" b="0"/>
                      <wp:wrapNone/>
                      <wp:docPr id="239" name="Frame23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30860" cy="175260"/>
                      <wp:effectExtent l="0" t="0" r="0" b="0"/>
                      <wp:wrapNone/>
                      <wp:docPr id="241" name="Frame241"/>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00685" cy="175260"/>
                      <wp:effectExtent l="0" t="0" r="0" b="0"/>
                      <wp:wrapNone/>
                      <wp:docPr id="243" name="Frame2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lineRule="auto" w:line="285" w:before="0" w:after="0"/>
              <w:ind w:left="0" w:right="0" w:hanging="0"/>
              <w:jc w:val="left"/>
              <w:rPr/>
            </w:pPr>
            <w:r>
              <w:rPr/>
              <w:t>​</w: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54965" cy="175260"/>
                      <wp:effectExtent l="0" t="0" r="0" b="0"/>
                      <wp:wrapNone/>
                      <wp:docPr id="245" name="Frame245"/>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61340" cy="175260"/>
                      <wp:effectExtent l="0" t="0" r="0" b="0"/>
                      <wp:wrapNone/>
                      <wp:docPr id="247" name="Frame247"/>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6041"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(4,736)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(900)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(4,231)</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5,459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(271)</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5,188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109"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55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250</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income (loss)</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(320)</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1,241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(1,023)</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(3,348)</w:t>
            </w:r>
          </w:p>
        </w:tc>
        <w:tc>
          <w:tcPr>
            <w:tcW w:w="109"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5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(953)</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(4,301)</w:t>
            </w:r>
          </w:p>
        </w:tc>
      </w:tr>
    </w:tbl>
    <w:p>
      <w:pPr>
        <w:pStyle w:val="TextBody"/>
        <w:bidi w:val="0"/>
        <w:spacing w:lineRule="auto" w:line="285" w:before="0" w:after="0"/>
        <w:ind w:left="0" w:right="0" w:hanging="0"/>
        <w:jc w:val="both"/>
        <w:rPr/>
      </w:pPr>
      <w:r>
        <w:rPr/>
        <w:t>​</w:t>
      </w:r>
    </w:p>
    <w:tbl>
      <w:tblPr>
        <w:tblW w:w="9764" w:type="dxa"/>
        <w:jc w:val="left"/>
        <w:tblInd w:w="0" w:type="dxa"/>
        <w:tblLayout w:type="fixed"/>
        <w:tblCellMar>
          <w:top w:w="0" w:type="dxa"/>
          <w:left w:w="0" w:type="dxa"/>
          <w:bottom w:w="0" w:type="dxa"/>
          <w:right w:w="0" w:type="dxa"/>
        </w:tblCellMar>
      </w:tblPr>
      <w:tblGrid>
        <w:gridCol w:w="3676"/>
        <w:gridCol w:w="196"/>
        <w:gridCol w:w="631"/>
        <w:gridCol w:w="109"/>
        <w:gridCol w:w="196"/>
        <w:gridCol w:w="631"/>
        <w:gridCol w:w="109"/>
        <w:gridCol w:w="259"/>
        <w:gridCol w:w="836"/>
        <w:gridCol w:w="109"/>
        <w:gridCol w:w="196"/>
        <w:gridCol w:w="631"/>
        <w:gridCol w:w="109"/>
        <w:gridCol w:w="196"/>
        <w:gridCol w:w="631"/>
        <w:gridCol w:w="109"/>
        <w:gridCol w:w="256"/>
        <w:gridCol w:w="88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34260" cy="175260"/>
                      <wp:effectExtent l="0" t="0" r="0" b="0"/>
                      <wp:wrapNone/>
                      <wp:docPr id="248" name="Frame248"/>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00685" cy="175260"/>
                      <wp:effectExtent l="0" t="0" r="0" b="0"/>
                      <wp:wrapNone/>
                      <wp:docPr id="249" name="Frame24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00685" cy="175260"/>
                      <wp:effectExtent l="0" t="0" r="0" b="0"/>
                      <wp:wrapNone/>
                      <wp:docPr id="251" name="Frame25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30860" cy="175260"/>
                      <wp:effectExtent l="0" t="0" r="0" b="0"/>
                      <wp:wrapNone/>
                      <wp:docPr id="253" name="Frame25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00685" cy="175260"/>
                      <wp:effectExtent l="0" t="0" r="0" b="0"/>
                      <wp:wrapNone/>
                      <wp:docPr id="255" name="Frame2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00685" cy="175260"/>
                      <wp:effectExtent l="0" t="0" r="0" b="0"/>
                      <wp:wrapNone/>
                      <wp:docPr id="257" name="Frame25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61340" cy="175260"/>
                      <wp:effectExtent l="0" t="0" r="0" b="0"/>
                      <wp:wrapNone/>
                      <wp:docPr id="259" name="Frame259"/>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088"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4,244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11,891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3,559</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(5,877)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(3,615)</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(9,492)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(1,446)</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(1,472)</w:t>
            </w:r>
          </w:p>
        </w:tc>
      </w:tr>
      <w:tr>
        <w:trPr/>
        <w:tc>
          <w:tcPr>
            <w:tcW w:w="36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Non-cash adjustments to net (loss) income</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(1,155)</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(2,465)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3,862</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932</w:t>
            </w:r>
          </w:p>
        </w:tc>
      </w:tr>
    </w:tbl>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Our principal sources of cash are amounts earned from the seismic data acquisition services we provide to our clients. Our principal uses of cash are the amounts used to provide these services, including expenses related to our operations and acquiring new equipment. Accordingly, our cash position depends (as do our revenues) on the level of demand for our services. Historically, cash generated from our operations along with cash reserves has been sufficient to fund our working capital requirements and, to some extent, our capital expenditures. Management believes cash flow from operations, cash on hand and amounts available under our Revolving Credit Note (defined below) are sufficient to fund operating and investing cash flow requirements, as well as obligations under the Geospace Notes.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Cash Flows</w:t>
      </w:r>
      <w:r>
        <w:rPr>
          <w:rFonts w:ascii="Times New Roman;Times;serif" w:hAnsi="Times New Roman;Times;serif"/>
          <w:sz w:val="20"/>
        </w:rPr>
        <w:t>. Net cash provided by operating activities was $11.9 million for the nine months ended September 30, 2025, compared to net cash provided by operating activities of $3.6 million for the same period of 2024. This increase was primarily due to an increase in deferred revenue.</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Net cash used in investing activities was $5.7 million and $0.9 million for the nine months ended September 30, 2025, and 2024, respectively. The increase in cash used in investing activities between periods of $4.8 million was primarily due to an increase in cash capital expenditure to $6.1 million for the first nine months of 2025 compared to capital expenditures of $1.6 million for the same period of 2024.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Net cash used in financing activities was $2.5 million for the nine months ended September 30, 2025, and was primarily comprised of principal payments of $1.8 million and $0.6 million under our notes payable and finance leases, respectively. Net cash used in financing activities was $11.4 million for the nine months ended September 30, 2024, and was primarily comprised of dividends paid of $9.9 million, principal payments of $0.9 million and $0.5 million under our notes payable and finance leases, respectively.</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For the nine months ended September 30, 2025, we have spent $12.6 million on capital expenditures, primarily for new node channels and rolling stock and maintenance capital requirements. Historically, we have funded most of our capital expenditures through cash flow from operations, cash reserves, equipment term loans and finance leases. Under the Purchase Agreement, we are partially funding our purchase of new single node channels utilizing vendor financing in the form of the Geospace Notes.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Capital Resources</w:t>
      </w:r>
      <w:r>
        <w:rPr>
          <w:rFonts w:ascii="Times New Roman;Times;serif" w:hAnsi="Times New Roman;Times;serif"/>
          <w:sz w:val="20"/>
        </w:rPr>
        <w:t>. Historically, we have primarily relied on cash flows from operations, cash reserves and borrowings from commercial banks to fund our capital requirements. In connection with the Equipment Purchase Agreement, we issued the Geospace Notes.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i/>
          <w:sz w:val="20"/>
        </w:rPr>
        <w:t>Special Cash Dividend</w:t>
      </w:r>
      <w:r>
        <w:rPr>
          <w:rFonts w:ascii="Times New Roman;Times;serif" w:hAnsi="Times New Roman;Times;serif"/>
          <w:sz w:val="20"/>
        </w:rPr>
        <w:t>. Declared on March 28, 2024, the $0.32 per share special cash dividend on the Company’s common stock was paid on May 6, 2024 to stockholders of record as of the close of business on April 22, 2024. The aggregate payment was approximately $9.9 million.</w:t>
      </w:r>
    </w:p>
    <w:p>
      <w:pPr>
        <w:pStyle w:val="TextBody"/>
        <w:bidi w:val="0"/>
        <w:spacing w:lineRule="auto" w:line="285" w:before="240" w:after="240"/>
        <w:ind w:left="0" w:right="0" w:hanging="0"/>
        <w:jc w:val="both"/>
        <w:rPr>
          <w:rFonts w:ascii="Times New Roman;Times;serif" w:hAnsi="Times New Roman;Times;serif"/>
          <w:b/>
          <w:sz w:val="20"/>
        </w:rPr>
      </w:pPr>
      <w:r>
        <w:rPr>
          <w:rFonts w:ascii="Times New Roman;Times;serif" w:hAnsi="Times New Roman;Times;serif"/>
          <w:b/>
          <w:sz w:val="20"/>
        </w:rPr>
        <w:t xml:space="preserve">Revolving Credit Note </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On October 31, 2025, Dawson Geophysical Company and Dawson Operating, as borrowers (the “</w:t>
      </w:r>
      <w:r>
        <w:rPr>
          <w:rFonts w:ascii="Times New Roman;Times;serif" w:hAnsi="Times New Roman;Times;serif"/>
          <w:b/>
          <w:sz w:val="20"/>
        </w:rPr>
        <w:t>Borrowers</w:t>
      </w:r>
      <w:r>
        <w:rPr>
          <w:rFonts w:ascii="Times New Roman;Times;serif" w:hAnsi="Times New Roman;Times;serif"/>
          <w:sz w:val="20"/>
        </w:rPr>
        <w:t>”), entered into a Revolving Credit Note (the “</w:t>
      </w:r>
      <w:r>
        <w:rPr>
          <w:rFonts w:ascii="Times New Roman;Times;serif" w:hAnsi="Times New Roman;Times;serif"/>
          <w:b/>
          <w:sz w:val="20"/>
        </w:rPr>
        <w:t>Revolving Credit Note</w:t>
      </w:r>
      <w:r>
        <w:rPr>
          <w:rFonts w:ascii="Times New Roman;Times;serif" w:hAnsi="Times New Roman;Times;serif"/>
          <w:sz w:val="20"/>
        </w:rPr>
        <w:t>”) in favor of Equify Financial, as lender (the “</w:t>
      </w:r>
      <w:r>
        <w:rPr>
          <w:rFonts w:ascii="Times New Roman;Times;serif" w:hAnsi="Times New Roman;Times;serif"/>
          <w:b/>
          <w:sz w:val="20"/>
        </w:rPr>
        <w:t>Lender</w:t>
      </w:r>
      <w:r>
        <w:rPr>
          <w:rFonts w:ascii="Times New Roman;Times;serif" w:hAnsi="Times New Roman;Times;serif"/>
          <w:sz w:val="20"/>
        </w:rPr>
        <w:t>”), a related party affiliated through common control. </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w:t>
      </w:r>
    </w:p>
    <w:p>
      <w:pPr>
        <w:pStyle w:val="TextBody"/>
        <w:bidi w:val="0"/>
        <w:spacing w:lineRule="auto" w:line="328" w:before="0" w:after="160"/>
        <w:ind w:left="0" w:right="0" w:firstLine="490"/>
        <w:jc w:val="left"/>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The Borrowers may prepay up to 75% of the then outstanding principal and accrued but unpaid interest at any time without a prepayment fee.</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Revolving Credit Note are secured by a lien on the Company’s vibrator energy source vehicles, pursuant to a Security Agreement by and between the Company and Lender, dated as of October 31, 2025.</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All outstanding amounts owed under the Revolving Credit Note become due and payable no later than the maturity date of November 20, 2028, and are subject to acceleration upon the occurrence of events of default which the Company considers usual and customary for an agreement of this type, including failure to make payments under the Revolving Credit Note, non-performance of covenants and obligations or insolvency or bankruptcy (as defined in the Revolving Credit Note).</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Geospace Notes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In connection with the Purchase Agreement, we have agreed to the terms under the Geospace Notes. We executed our first Note under the Geospace Notes on August 8, 2025, for approximately $3.6 million. We executed our second Note in September 2025 for approximately $3.9 million. Each Note will be for a term of 36 months with a fixed interest rate of 8.75% the combined monthly principal and interest payments due on these notes totals approximately $239,000. These notes are collateralized by both the equipment purchased and two owned properties in Midland that consist of a 61,402 square foot property used as a field office and a 6,600 square foot property used as an inventory and storage facility.</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Other Indebtedness</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As of September 30, 2025, we have two outstanding short-term notes payable to finance companies for various insurance premiums totaling $0.2 million. As of December 31, 2024, we had one outstanding short-term note payable to a finance company for various insurance premiums totaling $168,000.</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In addition, we lease certain seismic recording equipment and vehicles under leases classified as finance leases. Our Condensed Consolidated Balance Sheet as of September 30, 2025 and December 31, 2024, include finance leases of $2.5 million and $2.4 million, respectively.</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Maturities and Interest Rates of Debt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tables set forth the aggregate principal amount (in thousands) under our outstanding notes payable and the interest rates as of September 30, 2025, and December 31, 2024:</w:t>
      </w:r>
    </w:p>
    <w:tbl>
      <w:tblPr>
        <w:tblW w:w="7653" w:type="dxa"/>
        <w:jc w:val="left"/>
        <w:tblInd w:w="0" w:type="dxa"/>
        <w:tblLayout w:type="fixed"/>
        <w:tblCellMar>
          <w:top w:w="0" w:type="dxa"/>
          <w:left w:w="0" w:type="dxa"/>
          <w:bottom w:w="0" w:type="dxa"/>
          <w:right w:w="0" w:type="dxa"/>
        </w:tblCellMar>
      </w:tblPr>
      <w:tblGrid>
        <w:gridCol w:w="4021"/>
        <w:gridCol w:w="326"/>
        <w:gridCol w:w="536"/>
        <w:gridCol w:w="1070"/>
        <w:gridCol w:w="109"/>
        <w:gridCol w:w="495"/>
        <w:gridCol w:w="109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553335" cy="175260"/>
                      <wp:effectExtent l="0" t="0" r="0" b="0"/>
                      <wp:wrapNone/>
                      <wp:docPr id="260" name="Frame260"/>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40360" cy="175260"/>
                      <wp:effectExtent l="0" t="0" r="0" b="0"/>
                      <wp:wrapNone/>
                      <wp:docPr id="262" name="Frame262"/>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79450" cy="175260"/>
                      <wp:effectExtent l="0" t="0" r="0" b="0"/>
                      <wp:wrapNone/>
                      <wp:docPr id="263" name="Frame263"/>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14325" cy="175260"/>
                      <wp:effectExtent l="0" t="0" r="0" b="0"/>
                      <wp:wrapNone/>
                      <wp:docPr id="265" name="Frame26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5960" cy="175260"/>
                      <wp:effectExtent l="0" t="0" r="0" b="0"/>
                      <wp:wrapNone/>
                      <wp:docPr id="266" name="Frame26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109" w:type="dxa"/>
            <w:tcBorders/>
            <w:vAlign w:val="center"/>
          </w:tcPr>
          <w:p>
            <w:pPr>
              <w:pStyle w:val="TableContents"/>
              <w:bidi w:val="0"/>
              <w:spacing w:lineRule="auto" w:line="285"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to finance company for insurance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3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Aggregate principal amount outstanding</w:t>
            </w:r>
          </w:p>
        </w:tc>
        <w:tc>
          <w:tcPr>
            <w:tcW w:w="326"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109" w:type="dxa"/>
            <w:tcBorders/>
            <w:vAlign w:val="center"/>
          </w:tcPr>
          <w:p>
            <w:pPr>
              <w:pStyle w:val="TableContents"/>
              <w:bidi w:val="0"/>
              <w:spacing w:lineRule="auto" w:line="285" w:before="0" w:after="0"/>
              <w:ind w:left="0" w:right="0" w:hanging="0"/>
              <w:jc w:val="left"/>
              <w:rPr/>
            </w:pPr>
            <w:r>
              <w:rPr/>
              <w:t>​</w:t>
            </w:r>
          </w:p>
        </w:tc>
        <w:tc>
          <w:tcPr>
            <w:tcW w:w="4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rates range from 6.35% to 9.47%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3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95" w:type="dxa"/>
            <w:tcBorders/>
            <w:shd w:fill="CCEEFF" w:val="clear"/>
            <w:vAlign w:val="center"/>
          </w:tcPr>
          <w:p>
            <w:pPr>
              <w:pStyle w:val="TableContents"/>
              <w:bidi w:val="0"/>
              <w:spacing w:lineRule="auto" w:line="285" w:before="0" w:after="0"/>
              <w:ind w:left="0" w:right="0" w:hanging="0"/>
              <w:jc w:val="left"/>
              <w:rPr/>
            </w:pPr>
            <w:r>
              <w:rPr/>
              <w:t>​</w:t>
            </w:r>
          </w:p>
        </w:tc>
        <w:tc>
          <w:tcPr>
            <w:tcW w:w="1096"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notes payable for equipment purchases as of September 30, 2025, are as follows (in thousands):</w:t>
      </w:r>
    </w:p>
    <w:tbl>
      <w:tblPr>
        <w:tblW w:w="3964" w:type="dxa"/>
        <w:jc w:val="left"/>
        <w:tblInd w:w="0" w:type="dxa"/>
        <w:tblLayout w:type="fixed"/>
        <w:tblCellMar>
          <w:top w:w="0" w:type="dxa"/>
          <w:left w:w="0" w:type="dxa"/>
          <w:bottom w:w="0" w:type="dxa"/>
          <w:right w:w="0" w:type="dxa"/>
        </w:tblCellMar>
      </w:tblPr>
      <w:tblGrid>
        <w:gridCol w:w="2701"/>
        <w:gridCol w:w="109"/>
        <w:gridCol w:w="211"/>
        <w:gridCol w:w="571"/>
        <w:gridCol w:w="109"/>
        <w:gridCol w:w="109"/>
        <w:gridCol w:w="154"/>
      </w:tblGrid>
      <w:tr>
        <w:trPr/>
        <w:tc>
          <w:tcPr>
            <w:tcW w:w="27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62585" cy="175260"/>
                      <wp:effectExtent l="0" t="0" r="0" b="0"/>
                      <wp:wrapNone/>
                      <wp:docPr id="269" name="Frame2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97790" cy="175260"/>
                      <wp:effectExtent l="0" t="0" r="0" b="0"/>
                      <wp:wrapNone/>
                      <wp:docPr id="272" name="Frame2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2025 - September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2026 - September 2027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2027 - September 2028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notes payable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240" w:after="240"/>
        <w:ind w:left="0" w:right="0" w:firstLine="490"/>
        <w:jc w:val="both"/>
        <w:rPr>
          <w:rFonts w:ascii="Times New Roman;Times;serif" w:hAnsi="Times New Roman;Times;serif"/>
          <w:sz w:val="20"/>
        </w:rPr>
      </w:pPr>
      <w:r>
        <w:rPr>
          <w:rFonts w:ascii="Times New Roman;Times;serif" w:hAnsi="Times New Roman;Times;serif"/>
          <w:sz w:val="20"/>
        </w:rPr>
        <w:t>The aggregate maturities of finance leases (net of imputed interest) as of September 30, 2025, are as follows (in thousands):</w:t>
      </w:r>
    </w:p>
    <w:tbl>
      <w:tblPr>
        <w:tblW w:w="4024" w:type="dxa"/>
        <w:jc w:val="left"/>
        <w:tblInd w:w="0" w:type="dxa"/>
        <w:tblLayout w:type="fixed"/>
        <w:tblCellMar>
          <w:top w:w="0" w:type="dxa"/>
          <w:left w:w="0" w:type="dxa"/>
          <w:bottom w:w="0" w:type="dxa"/>
          <w:right w:w="0" w:type="dxa"/>
        </w:tblCellMar>
      </w:tblPr>
      <w:tblGrid>
        <w:gridCol w:w="2761"/>
        <w:gridCol w:w="109"/>
        <w:gridCol w:w="211"/>
        <w:gridCol w:w="571"/>
        <w:gridCol w:w="109"/>
        <w:gridCol w:w="109"/>
        <w:gridCol w:w="154"/>
      </w:tblGrid>
      <w:tr>
        <w:trPr/>
        <w:tc>
          <w:tcPr>
            <w:tcW w:w="27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2585" cy="175260"/>
                      <wp:effectExtent l="0" t="0" r="0" b="0"/>
                      <wp:wrapNone/>
                      <wp:docPr id="275" name="Frame2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7790" cy="175260"/>
                      <wp:effectExtent l="0" t="0" r="0" b="0"/>
                      <wp:wrapNone/>
                      <wp:docPr id="278" name="Frame27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2025 - September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2026 - September 2027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2027 - September 2028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2028 - September 2029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2029 - September 2030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Obligations under finance leases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2,484</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Interest rates on these leases range from 4.86% to 8.74%.</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b/>
          <w:sz w:val="20"/>
        </w:rPr>
        <w:t>Contractual</w:t>
      </w:r>
      <w:r>
        <w:rPr>
          <w:rFonts w:ascii="Times New Roman;Times;serif" w:hAnsi="Times New Roman;Times;serif"/>
          <w:sz w:val="20"/>
        </w:rPr>
        <w:t xml:space="preserve"> </w:t>
      </w:r>
      <w:r>
        <w:rPr>
          <w:rFonts w:ascii="Times New Roman;Times;serif" w:hAnsi="Times New Roman;Times;serif"/>
          <w:b/>
          <w:sz w:val="20"/>
        </w:rPr>
        <w:t>Obligations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believe that our capital resources, including our cash on hand, short-term investments, funds available from our Revolving Credit Note and cash flow from operations will be adequate to meet our current operational needs. We believe that we will be able to finance our 2025 capital expenditures through cash flow from operations, borrowings from commercial lenders and the Geospace Notes. However, our ability to satisfy working capital requirements, meet debt repayment obligations, and fund future capital requirements will depend principally upon our future operating performance, which is subject to the risks inherent in our business, and will also depend on the extent to which the current economic climate adversely affects the ability of our customers, and/or potential customers, to promptly pay amounts owing to us under their service contracts with us.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Information regarding our critical accounting policies and estimates is included in Item 7 “Management’s Discussion and Analysis of Financial Condition and Results of Operations” in our Annual Report on Form 10-K for the year ended December 31, 2024. </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 xml:space="preserve">Income Taxes (Topic 740): Improvements to Income Tax Disclosures </w:t>
      </w:r>
      <w:r>
        <w:rPr>
          <w:rFonts w:ascii="Times New Roman;Times;serif" w:hAnsi="Times New Roman;Times;serif"/>
          <w:sz w:val="20"/>
        </w:rPr>
        <w:t>(“ASU 2023-09”)</w:t>
      </w:r>
      <w:r>
        <w:rPr>
          <w:rFonts w:ascii="Times New Roman;Times;serif" w:hAnsi="Times New Roman;Times;serif"/>
          <w:i/>
          <w:sz w:val="20"/>
        </w:rPr>
        <w:t>.</w:t>
      </w:r>
      <w:r>
        <w:rPr>
          <w:rFonts w:ascii="Times New Roman;Times;serif" w:hAnsi="Times New Roman;Times;serif"/>
          <w:sz w:val="20"/>
        </w:rPr>
        <w:t xml:space="preserve"> ASU 2023-09 seeks to improve transparency of income tax disclosures by requiring consistent categories and greater disaggregation of information in the rate reconciliation and income taxes paid disclosures. The updated guidance is effective for annual periods after January 1, 2025, and will be reflected through additional disclosures in our 2025 10-K.</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enhances the disclosures required for certain expense captions in the Company's annual and interim consolidated financial statements. This ASU is effective prospectively or retrospectively for fiscal years beginning after December 15, 2026, and for interim reporting periods beginning after December 15, 2027. Early adoption is permitted. We are currently evaluating the impact of this standard on its disclosures.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Credit Losses (Topic 326): Measurement of Credit Losses for Accounts Receivable and Contract Assets</w:t>
      </w:r>
      <w:r>
        <w:rPr>
          <w:rFonts w:ascii="Times New Roman;Times;serif" w:hAnsi="Times New Roman;Times;serif"/>
          <w:sz w:val="20"/>
        </w:rPr>
        <w:t>. This ASU introduces a practical expedient to simplify the application of Topic 326, Financial Instruments - Credit Losses, to current accounts receivable and current contract assets arising from revenue transactions accounted for under topic 606, Revenue from Contracts with Customers. This ASU is effective for all entities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We are currently evaluating the impact of this standard on its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sz w:val="20"/>
        </w:rPr>
      </w:pPr>
      <w:bookmarkStart w:id="953" w:name="ITEM3QUANTITATIVEANDQUALITATIVE_777615"/>
      <w:bookmarkStart w:id="954" w:name="_207b3ced_46df_48a4_b10e_6d1b943796e7"/>
      <w:bookmarkEnd w:id="953"/>
      <w:bookmarkEnd w:id="954"/>
      <w:r>
        <w:rPr>
          <w:rFonts w:ascii="Times New Roman;Times;serif" w:hAnsi="Times New Roman;Times;serif"/>
          <w:b/>
          <w:sz w:val="20"/>
        </w:rPr>
        <w:t>ITEM 3. QUANTITATIVE AND QUALITATIVE DISCLOSURES ABOUT MARKET RISK</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There has been no material change in our market risk profile during the three months ended September 30, 2025. For additional information about our market risk profile, refer to "Quantitative and Qualitative Disclosures About Market Risk" in Item 7A. in Part II of our Annual Report on Form 10-K for the year ended December 31, 2024.</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are exposed to certain market risks arising from the use of financial instruments in the ordinary course of business. These risks arise primarily as a result of potential changes to operating concentration of credit risk and changes in interest rates. We have not entered into any hedge arrangements, commodity swap agreements, commodity futures, options or other derivative financial instruments. We also conduct business in Canada, which subjects our results of operations and cash flows to foreign currency exchange rate risk.</w:t>
      </w:r>
    </w:p>
    <w:p>
      <w:pPr>
        <w:pStyle w:val="TextBody"/>
        <w:bidi w:val="0"/>
        <w:spacing w:lineRule="auto" w:line="285" w:before="0" w:after="240"/>
        <w:ind w:left="0" w:right="0" w:hanging="0"/>
        <w:jc w:val="both"/>
        <w:rPr>
          <w:rFonts w:ascii="Times New Roman;Times;serif" w:hAnsi="Times New Roman;Times;serif"/>
          <w:b/>
          <w:sz w:val="20"/>
        </w:rPr>
      </w:pPr>
      <w:bookmarkStart w:id="955" w:name="ITEM4CONTROLSANDPROCEDURES_180441"/>
      <w:bookmarkStart w:id="956" w:name="_9a382912_055b_4d86_bdde_2a81e02985fe"/>
      <w:bookmarkEnd w:id="955"/>
      <w:bookmarkEnd w:id="956"/>
      <w:r>
        <w:rPr>
          <w:rFonts w:ascii="Times New Roman;Times;serif" w:hAnsi="Times New Roman;Times;serif"/>
          <w:b/>
          <w:sz w:val="20"/>
        </w:rPr>
        <w:t>ITEM 4. CONTROLS AND PROCEDURES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Management’s Evaluation of Disclosure Controls and Procedures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principal executive and financial officer, of the effectiveness of our disclosure controls and procedures pursuant to Rule 13a-15(e) and 15d-15(e) under the Exchange Act as of the end of the period covered by this report. Based upon that evaluation, our President and Chief Executive Officer and our Chief Financial Officer concluded that, as of September 30, 2025, our disclosure controls and procedures were effective, in all material respects, with regard to the recording, processing, summarizing and reporting, within the time periods specified in the SEC’s rules and forms, for information required to be disclosed by us in the reports that we file or submit under the Exchange Act. Our disclosure controls and procedures include controls and procedures designed to ensure that information required to be disclosed in reports filed or submitted under the Exchange Act is accumulated and communicated to our management, including our President and Chief Executive Officer and our Chief Financial Officer, as appropriate, to allow timely decisions regarding required disclosure.</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There have not been any changes in our internal control over financial reporting (as defined in Rule 13a-15(f) and 15d-15(f) of the Exchange Act) during the three and nine months ended September 30, 2025, that have materially affected or are reasonably likely to materially affect our internal control over financial reporting.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957" w:name="PARTIIOTHERINFORMATION_378548"/>
      <w:bookmarkStart w:id="958" w:name="_2ac5b3b9_eaa9_4074_a70c_89185d6ae756"/>
      <w:bookmarkEnd w:id="957"/>
      <w:bookmarkEnd w:id="958"/>
      <w:r>
        <w:rPr>
          <w:rFonts w:ascii="Times New Roman;Times;serif" w:hAnsi="Times New Roman;Times;serif"/>
          <w:b/>
          <w:sz w:val="20"/>
        </w:rPr>
        <w:t>PART II. OTHER INFORMATION</w:t>
      </w:r>
    </w:p>
    <w:p>
      <w:pPr>
        <w:pStyle w:val="TextBody"/>
        <w:bidi w:val="0"/>
        <w:spacing w:lineRule="auto" w:line="285" w:before="0" w:after="240"/>
        <w:ind w:left="0" w:right="0" w:hanging="0"/>
        <w:jc w:val="both"/>
        <w:rPr>
          <w:rFonts w:ascii="Times New Roman;Times;serif" w:hAnsi="Times New Roman;Times;serif"/>
          <w:b/>
          <w:sz w:val="20"/>
        </w:rPr>
      </w:pPr>
      <w:bookmarkStart w:id="959" w:name="ITEM1LEGALPROCEEDINGS_315864"/>
      <w:bookmarkEnd w:id="959"/>
      <w:r>
        <w:rPr>
          <w:rFonts w:ascii="Times New Roman;Times;serif" w:hAnsi="Times New Roman;Times;serif"/>
          <w:b/>
          <w:sz w:val="20"/>
        </w:rPr>
        <w:t>ITEM 1. LEGAL PROCEEDINGS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Refer to Note 8 – Commitments and Contingencies in the Notes to the Condensed Consolidated Financial Statements (Part I, Item 1 of this Form 10-Q) for a discussion of the Company’s legal proceedings.</w:t>
      </w:r>
    </w:p>
    <w:p>
      <w:pPr>
        <w:pStyle w:val="TextBody"/>
        <w:bidi w:val="0"/>
        <w:spacing w:lineRule="auto" w:line="285" w:before="0" w:after="240"/>
        <w:ind w:left="0" w:right="0" w:hanging="0"/>
        <w:jc w:val="both"/>
        <w:rPr>
          <w:rFonts w:ascii="Times New Roman;Times;serif" w:hAnsi="Times New Roman;Times;serif"/>
          <w:b/>
          <w:sz w:val="20"/>
        </w:rPr>
      </w:pPr>
      <w:bookmarkStart w:id="960" w:name="ITEM1ARISKFACTORS_294464"/>
      <w:bookmarkStart w:id="961" w:name="_578dd29f_28b5_4800_a44b_c3f37d18927c"/>
      <w:bookmarkEnd w:id="960"/>
      <w:bookmarkEnd w:id="961"/>
      <w:r>
        <w:rPr>
          <w:rFonts w:ascii="Times New Roman;Times;serif" w:hAnsi="Times New Roman;Times;serif"/>
          <w:b/>
          <w:sz w:val="20"/>
        </w:rPr>
        <w:t>ITEM 1A. RISK FACTORS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There have been no material changes in the significant risk factors that may affect our business, results of operations or liquidity as described in Part I, “Item 1A. Risk Factors” in our Annual </w:t>
      </w:r>
      <w:r>
        <w:rPr>
          <w:rFonts w:ascii="Times New Roman;Times;serif" w:hAnsi="Times New Roman;Times;serif"/>
          <w:color w:val="252525"/>
          <w:sz w:val="20"/>
        </w:rPr>
        <w:t>Report</w:t>
      </w:r>
      <w:r>
        <w:rPr>
          <w:rFonts w:ascii="Times New Roman;Times;serif" w:hAnsi="Times New Roman;Times;serif"/>
          <w:sz w:val="20"/>
        </w:rPr>
        <w:t xml:space="preserve"> on Form 10-K for the year ended December 31, 2024.</w:t>
      </w:r>
    </w:p>
    <w:p>
      <w:pPr>
        <w:pStyle w:val="TextBody"/>
        <w:bidi w:val="0"/>
        <w:spacing w:lineRule="auto" w:line="314" w:before="0" w:after="120"/>
        <w:ind w:left="0" w:right="0" w:hanging="0"/>
        <w:jc w:val="left"/>
        <w:rPr>
          <w:rFonts w:ascii="Times New Roman;Times;serif" w:hAnsi="Times New Roman;Times;serif"/>
          <w:sz w:val="20"/>
        </w:rPr>
      </w:pPr>
      <w:bookmarkStart w:id="962" w:name="ITEM2UNREGISTEREDSALESOFEQUITYSECURITIES"/>
      <w:bookmarkStart w:id="963" w:name="_a76e8352_3b3a_4876_baf0_5bd901f5753c"/>
      <w:bookmarkEnd w:id="962"/>
      <w:bookmarkEnd w:id="963"/>
      <w:r>
        <w:rPr>
          <w:rFonts w:ascii="Times New Roman;Times;serif" w:hAnsi="Times New Roman;Times;serif"/>
          <w:b/>
          <w:sz w:val="20"/>
        </w:rPr>
        <w:t xml:space="preserve">ITEM 2. </w:t>
      </w:r>
      <w:r>
        <w:rPr>
          <w:rFonts w:ascii="Times New Roman;Times;serif" w:hAnsi="Times New Roman;Times;serif"/>
          <w:b/>
          <w:sz w:val="20"/>
          <w:shd w:fill="FFFFFF" w:val="clear"/>
        </w:rPr>
        <w:t>UNREGISTERED SALES OF EQUITY SECURITIES AND USE OF PROCEEDS</w:t>
      </w:r>
      <w:r>
        <w:rPr>
          <w:rFonts w:ascii="Times New Roman;Times;serif" w:hAnsi="Times New Roman;Times;serif"/>
          <w:sz w:val="20"/>
        </w:rPr>
        <w:t xml:space="preserve"> </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lineRule="auto" w:line="314" w:before="0" w:after="120"/>
        <w:ind w:left="0" w:right="0" w:hanging="0"/>
        <w:jc w:val="left"/>
        <w:rPr>
          <w:rFonts w:ascii="Times New Roman;Times;serif" w:hAnsi="Times New Roman;Times;serif"/>
          <w:sz w:val="20"/>
        </w:rPr>
      </w:pPr>
      <w:bookmarkStart w:id="964" w:name="ITEM3DEFAULTSUPONSENIORSECURITIES"/>
      <w:bookmarkStart w:id="965" w:name="_57c52514_d603_4407_8eba_6e69df2ab298"/>
      <w:bookmarkEnd w:id="964"/>
      <w:bookmarkEnd w:id="965"/>
      <w:r>
        <w:rPr>
          <w:rFonts w:ascii="Times New Roman;Times;serif" w:hAnsi="Times New Roman;Times;serif"/>
          <w:b/>
          <w:sz w:val="20"/>
        </w:rPr>
        <w:t xml:space="preserve">ITEM 3. </w:t>
      </w:r>
      <w:r>
        <w:rPr>
          <w:rFonts w:ascii="Times New Roman;Times;serif" w:hAnsi="Times New Roman;Times;serif"/>
          <w:b/>
          <w:sz w:val="20"/>
          <w:shd w:fill="FFFFFF" w:val="clear"/>
        </w:rPr>
        <w:t>DEFAULTS UPON SENIOR SECURITIES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sz w:val="20"/>
          <w:shd w:fill="FFFFFF" w:val="clear"/>
        </w:rPr>
        <w:t>.</w:t>
      </w:r>
    </w:p>
    <w:p>
      <w:pPr>
        <w:pStyle w:val="TextBody"/>
        <w:bidi w:val="0"/>
        <w:spacing w:lineRule="auto" w:line="314" w:before="0" w:after="120"/>
        <w:ind w:left="0" w:right="0" w:hanging="0"/>
        <w:jc w:val="left"/>
        <w:rPr>
          <w:rFonts w:ascii="Times New Roman;Times;serif" w:hAnsi="Times New Roman;Times;serif"/>
          <w:sz w:val="20"/>
        </w:rPr>
      </w:pPr>
      <w:bookmarkStart w:id="966" w:name="ITEM4MINESAFETYDISCLOSURES"/>
      <w:bookmarkStart w:id="967" w:name="_1b52d94f_fc1f_49ba_90fb_d179ae71e162"/>
      <w:bookmarkEnd w:id="966"/>
      <w:bookmarkEnd w:id="967"/>
      <w:r>
        <w:rPr>
          <w:rFonts w:ascii="Times New Roman;Times;serif" w:hAnsi="Times New Roman;Times;serif"/>
          <w:b/>
          <w:sz w:val="20"/>
        </w:rPr>
        <w:t xml:space="preserve">ITEM 4. </w:t>
      </w:r>
      <w:r>
        <w:rPr>
          <w:rFonts w:ascii="Times New Roman;Times;serif" w:hAnsi="Times New Roman;Times;serif"/>
          <w:b/>
          <w:sz w:val="20"/>
          <w:shd w:fill="FFFFFF" w:val="clear"/>
        </w:rPr>
        <w:t>MINE SAFETY DISCLOSURES</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14" w:before="0" w:after="120"/>
        <w:ind w:left="0" w:right="0" w:hanging="0"/>
        <w:jc w:val="left"/>
        <w:rPr>
          <w:rFonts w:ascii="Times New Roman;Times;serif" w:hAnsi="Times New Roman;Times;serif"/>
          <w:sz w:val="20"/>
        </w:rPr>
      </w:pPr>
      <w:bookmarkStart w:id="968" w:name="ITEM5OTHERINFORMATION"/>
      <w:bookmarkStart w:id="969" w:name="_f60e8077_3aa2_48fb_9d55_54d90b2100ac"/>
      <w:bookmarkEnd w:id="968"/>
      <w:bookmarkEnd w:id="969"/>
      <w:r>
        <w:rPr>
          <w:rFonts w:ascii="Times New Roman;Times;serif" w:hAnsi="Times New Roman;Times;serif"/>
          <w:b/>
          <w:sz w:val="20"/>
          <w:shd w:fill="FFFFFF" w:val="clear"/>
        </w:rPr>
        <w:t xml:space="preserve">ITEM 5. </w:t>
      </w:r>
      <w:r>
        <w:rPr>
          <w:rFonts w:ascii="Times New Roman;Times;serif" w:hAnsi="Times New Roman;Times;serif"/>
          <w:b/>
          <w:sz w:val="20"/>
        </w:rPr>
        <w:t>OTHER</w:t>
      </w:r>
      <w:r>
        <w:rPr>
          <w:rFonts w:ascii="Times New Roman;Times;serif" w:hAnsi="Times New Roman;Times;serif"/>
          <w:sz w:val="20"/>
          <w:shd w:fill="FFFFFF" w:val="clear"/>
        </w:rPr>
        <w:t xml:space="preserve"> </w:t>
      </w:r>
      <w:r>
        <w:rPr>
          <w:rFonts w:ascii="Times New Roman;Times;serif" w:hAnsi="Times New Roman;Times;serif"/>
          <w:b/>
          <w:sz w:val="20"/>
          <w:shd w:fill="FFFFFF" w:val="clear"/>
        </w:rPr>
        <w:t>INFORMATION</w:t>
      </w:r>
    </w:p>
    <w:tbl>
      <w:tblPr>
        <w:tblW w:w="1836" w:type="dxa"/>
        <w:jc w:val="left"/>
        <w:tblInd w:w="0" w:type="dxa"/>
        <w:tblLayout w:type="fixed"/>
        <w:tblCellMar>
          <w:top w:w="28" w:type="dxa"/>
          <w:left w:w="28" w:type="dxa"/>
          <w:bottom w:w="28" w:type="dxa"/>
          <w:right w:w="28" w:type="dxa"/>
        </w:tblCellMar>
      </w:tblPr>
      <w:tblGrid>
        <w:gridCol w:w="124"/>
        <w:gridCol w:w="316"/>
        <w:gridCol w:w="13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086" w:type="dxa"/>
        <w:jc w:val="left"/>
        <w:tblInd w:w="0" w:type="dxa"/>
        <w:tblLayout w:type="fixed"/>
        <w:tblCellMar>
          <w:top w:w="28" w:type="dxa"/>
          <w:left w:w="28" w:type="dxa"/>
          <w:bottom w:w="28" w:type="dxa"/>
          <w:right w:w="28" w:type="dxa"/>
        </w:tblCellMar>
      </w:tblPr>
      <w:tblGrid>
        <w:gridCol w:w="124"/>
        <w:gridCol w:w="331"/>
        <w:gridCol w:w="6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September 30, 2025, none of the Company's directors or officers adopted</w:t>
            </w:r>
            <w:r>
              <w:rPr>
                <w:caps w:val="false"/>
                <w:smallCaps w:val="false"/>
              </w:rPr>
              <w:t xml:space="preserve"> </w:t>
            </w:r>
            <w:r>
              <w:rPr>
                <w:rFonts w:ascii="Times New Roman;Times;serif" w:hAnsi="Times New Roman;Times;serif"/>
                <w:b w:val="false"/>
                <w:i w:val="false"/>
                <w:caps w:val="false"/>
                <w:smallCaps w:val="false"/>
                <w:sz w:val="20"/>
              </w:rPr>
              <w:t>or terminated</w:t>
            </w:r>
            <w:r>
              <w:rPr>
                <w:caps w:val="false"/>
                <w:smallCaps w:val="false"/>
              </w:rPr>
              <w:t xml:space="preserve"> </w:t>
            </w:r>
            <w:r>
              <w:rPr>
                <w:rFonts w:ascii="Times New Roman;Times;serif" w:hAnsi="Times New Roman;Times;serif"/>
                <w:b w:val="false"/>
                <w:i w:val="false"/>
                <w:caps w:val="false"/>
                <w:smallCaps w:val="false"/>
                <w:sz w:val="20"/>
              </w:rPr>
              <w:t>a Rule 10b5-1</w:t>
            </w:r>
            <w:r>
              <w:rPr>
                <w:caps w:val="false"/>
                <w:smallCaps w:val="false"/>
              </w:rPr>
              <w:t xml:space="preserve"> </w:t>
            </w:r>
            <w:r>
              <w:rPr>
                <w:rFonts w:ascii="Times New Roman;Times;serif" w:hAnsi="Times New Roman;Times;serif"/>
                <w:b w:val="false"/>
                <w:i w:val="false"/>
                <w:caps w:val="false"/>
                <w:smallCaps w:val="false"/>
                <w:sz w:val="20"/>
              </w:rPr>
              <w:t>trading arrangement or a non-Rule 10b5-1</w:t>
            </w:r>
            <w:r>
              <w:rPr>
                <w:caps w:val="false"/>
                <w:smallCaps w:val="false"/>
              </w:rPr>
              <w:t xml:space="preserve"> </w:t>
            </w:r>
            <w:r>
              <w:rPr>
                <w:rFonts w:ascii="Times New Roman;Times;serif" w:hAnsi="Times New Roman;Times;serif"/>
                <w:b w:val="false"/>
                <w:i w:val="false"/>
                <w:caps w:val="false"/>
                <w:smallCaps w:val="false"/>
                <w:sz w:val="20"/>
              </w:rPr>
              <w:t>trading arrangement (each as defined in Item 408(c) of Regulation S-K).</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Times New Roman;Times;serif" w:hAnsi="Times New Roman;Times;serif"/>
          <w:b/>
          <w:sz w:val="20"/>
        </w:rPr>
      </w:pPr>
      <w:bookmarkStart w:id="970" w:name="_2f93f501_d099_40d7_adf7_a7b3e83d7944"/>
      <w:bookmarkStart w:id="971" w:name="ITEM6"/>
      <w:bookmarkEnd w:id="970"/>
      <w:bookmarkEnd w:id="971"/>
      <w:r>
        <w:rPr>
          <w:rFonts w:ascii="Times New Roman;Times;serif" w:hAnsi="Times New Roman;Times;serif"/>
          <w:b/>
          <w:sz w:val="20"/>
        </w:rPr>
        <w:t>ITEM 6. EXHIBITS</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8"/>
        <w:gridCol w:w="326"/>
        <w:gridCol w:w="9061"/>
      </w:tblGrid>
      <w:tr>
        <w:trPr/>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19430" cy="29210"/>
                      <wp:effectExtent l="0" t="0" r="0" b="0"/>
                      <wp:wrapNone/>
                      <wp:docPr id="279" name="Frame279"/>
                      <a:graphic xmlns:a="http://schemas.openxmlformats.org/drawingml/2006/main">
                        <a:graphicData uri="http://schemas.microsoft.com/office/word/2010/wordprocessingShape">
                          <wps:wsp>
                            <wps:cNvSpPr txBox="1"/>
                            <wps:spPr>
                              <a:xfrm>
                                <a:off x="0" y="0"/>
                                <a:ext cx="5194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29210"/>
                      <wp:effectExtent l="0" t="0" r="0" b="0"/>
                      <wp:wrapNone/>
                      <wp:docPr id="280" name="Frame28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753735" cy="29210"/>
                      <wp:effectExtent l="0" t="0" r="0" b="0"/>
                      <wp:wrapNone/>
                      <wp:docPr id="281" name="Frame281"/>
                      <a:graphic xmlns:a="http://schemas.openxmlformats.org/drawingml/2006/main">
                        <a:graphicData uri="http://schemas.microsoft.com/office/word/2010/wordprocessingShape">
                          <wps:wsp>
                            <wps:cNvSpPr txBox="1"/>
                            <wps:spPr>
                              <a:xfrm>
                                <a:off x="0" y="0"/>
                                <a:ext cx="5753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8"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pPr>
            <w:r>
              <w:rPr/>
              <w:t>    </w:t>
            </w:r>
          </w:p>
        </w:tc>
        <w:tc>
          <w:tcPr>
            <w:tcW w:w="906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r>
      <w:tr>
        <w:trPr/>
        <w:tc>
          <w:tcPr>
            <w:tcW w:w="81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left"/>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Formation, dated February 9, 2015, filed as Exhibit 3.1 to the Company’s Annual Report on Form 10-K, filed on March 16, 2015,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to Amended and Restated Certificate of Formation, dated February 11, 2015, filed as Exhibit 3.1 to the Company’s Annual Report on Form 10-K, filed on March 16, 2015,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Formation, dated December 1, 2023, filed as Exhibit 3.1 to the Company’s Current Report on Form 8-K, filed on December 1, 2023,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r:id="rId5">
              <w:r>
                <w:rPr>
                  <w:rStyle w:val="InternetLink"/>
                  <w:rFonts w:ascii="Times New Roman;Times;serif" w:hAnsi="Times New Roman;Times;serif"/>
                  <w:b w:val="false"/>
                  <w:i w:val="false"/>
                  <w:caps w:val="false"/>
                  <w:smallCaps w:val="false"/>
                  <w:sz w:val="20"/>
                </w:rPr>
                <w:t>Second Amended and Restated Bylaws, dated December 1, 2023, filed as Exhibit 3.2 to the Company’s Current Report on Form 8-K, filed on December 1, 2023, and incorporated herein by reference.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w:anchor="dwsn-20250930xex31d1.htm">
              <w:r>
                <w:rPr>
                  <w:rStyle w:val="InternetLink"/>
                  <w:rFonts w:ascii="Times New Roman;Times;serif" w:hAnsi="Times New Roman;Times;serif"/>
                  <w:b w:val="false"/>
                  <w:i w:val="false"/>
                  <w:caps w:val="false"/>
                  <w:smallCaps w:val="false"/>
                  <w:sz w:val="20"/>
                </w:rPr>
                <w:t>Certification of Chief Executive Officer of Dawson Geophysical Company pursuant to Rule 13a-14(a) promulgated under the Securities Exchange Act of 1934, as amended.</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w:anchor="dwsn-20250930xex31d2.htm">
              <w:r>
                <w:rPr>
                  <w:rStyle w:val="InternetLink"/>
                  <w:rFonts w:ascii="Times New Roman;Times;serif" w:hAnsi="Times New Roman;Times;serif"/>
                  <w:b w:val="false"/>
                  <w:i w:val="false"/>
                  <w:caps w:val="false"/>
                  <w:smallCaps w:val="false"/>
                  <w:sz w:val="20"/>
                </w:rPr>
                <w:t>Certification of Chief Financial Officer of Dawson Geophysical Company pursuant to Rule 13a-14(a) promulgated under the Securities Exchange Act of 1934, as amended.</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w:anchor="dwsn-20250930xex32d1.htm">
              <w:r>
                <w:rPr>
                  <w:rStyle w:val="InternetLink"/>
                  <w:rFonts w:ascii="Times New Roman;Times;serif" w:hAnsi="Times New Roman;Times;serif"/>
                  <w:b w:val="false"/>
                  <w:i w:val="false"/>
                  <w:caps w:val="false"/>
                  <w:smallCaps w:val="false"/>
                  <w:sz w:val="20"/>
                </w:rPr>
                <w:t>Certification of Chief Executive Officer of Dawson Geophysical Company pursuant to Rule 13a-14(b) promulgated under the Securities Exchange Act of 1934, as amended, and Section 1350 of Chapter 63 of Title 18 of the United States Code.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pPr>
            <w:hyperlink w:anchor="dwsn-20250930xex32d2.htm">
              <w:r>
                <w:rPr>
                  <w:rStyle w:val="InternetLink"/>
                  <w:rFonts w:ascii="Times New Roman;Times;serif" w:hAnsi="Times New Roman;Times;serif"/>
                  <w:b w:val="false"/>
                  <w:i w:val="false"/>
                  <w:caps w:val="false"/>
                  <w:smallCaps w:val="false"/>
                  <w:sz w:val="20"/>
                </w:rPr>
                <w:t>Certification of Chief Financial Officer of Dawson Geophysical Company pursuant to Rule 13a-14(b) promulgated under the Securities Exchange Act of 1934, as amended, and Section 1350 of Chapter 63 of Title 18 of the United States Code.</w:t>
              </w:r>
            </w:hyperlink>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w:t>
            </w:r>
          </w:p>
        </w:tc>
      </w:tr>
      <w:tr>
        <w:trPr/>
        <w:tc>
          <w:tcPr>
            <w:tcW w:w="81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both"/>
              <w:rPr/>
            </w:pPr>
            <w:r>
              <w:rPr/>
              <w:t>​</w:t>
            </w:r>
          </w:p>
        </w:tc>
      </w:tr>
      <w:tr>
        <w:trPr/>
        <w:tc>
          <w:tcPr>
            <w:tcW w:w="818" w:type="dxa"/>
            <w:tcBorders/>
            <w:vAlign w:val="center"/>
          </w:tcPr>
          <w:p>
            <w:pPr>
              <w:pStyle w:val="TableContents"/>
              <w:pBdr/>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314"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pBdr/>
        <w:bidi w:val="0"/>
        <w:spacing w:lineRule="auto" w:line="285" w:before="0" w:after="0"/>
        <w:ind w:left="0" w:right="0" w:hanging="490"/>
        <w:jc w:val="left"/>
        <w:rPr>
          <w:rFonts w:ascii="Times New Roman;Times;serif" w:hAnsi="Times New Roman;Times;serif"/>
          <w:sz w:val="20"/>
        </w:rPr>
      </w:pPr>
      <w:r>
        <w:rPr>
          <w:rFonts w:ascii="Times New Roman;Times;serif" w:hAnsi="Times New Roman;Times;serif"/>
          <w:sz w:val="20"/>
        </w:rPr>
        <w:t>*         Filed herewith.</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shd w:fill="FFFFFF" w:val="clear"/>
              </w:rPr>
              <w:t>Furnished herewith</w:t>
            </w:r>
            <w:r>
              <w:rPr>
                <w:rFonts w:ascii="Times New Roman;Times;serif" w:hAnsi="Times New Roman;Times;serif"/>
                <w:sz w:val="20"/>
              </w:rPr>
              <w:t xml:space="preserve"> </w:t>
            </w:r>
          </w:p>
        </w:tc>
      </w:tr>
    </w:tbl>
    <w:p>
      <w:pPr>
        <w:pStyle w:val="TextBody"/>
        <w:pBdr/>
        <w:bidi w:val="0"/>
        <w:spacing w:lineRule="auto" w:line="285" w:before="0" w:after="0"/>
        <w:ind w:left="0" w:right="0" w:hanging="540"/>
        <w:jc w:val="left"/>
        <w:rPr>
          <w:shd w:fill="FFFFFF" w:val="clear"/>
        </w:rPr>
      </w:pPr>
      <w:r>
        <w:rPr>
          <w:shd w:fill="FFFFFF" w:val="clear"/>
        </w:rPr>
        <w:t>​</w:t>
      </w:r>
    </w:p>
    <w:p>
      <w:pPr>
        <w:pStyle w:val="TextBody"/>
        <w:pBdr/>
        <w:bidi w:val="0"/>
        <w:spacing w:lineRule="auto" w:line="285" w:before="0" w:after="0"/>
        <w:ind w:left="0" w:right="0" w:hanging="49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972" w:name="SIGNATURES_258787"/>
      <w:bookmarkStart w:id="973" w:name="_8b8c331b_8a1a_48a7_80df_493a11f68208"/>
      <w:bookmarkEnd w:id="972"/>
      <w:bookmarkEnd w:id="973"/>
      <w:r>
        <w:rPr>
          <w:rFonts w:ascii="Times New Roman;Times;serif" w:hAnsi="Times New Roman;Time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958" w:type="dxa"/>
        <w:jc w:val="left"/>
        <w:tblInd w:w="0" w:type="dxa"/>
        <w:tblLayout w:type="fixed"/>
        <w:tblCellMar>
          <w:top w:w="0" w:type="dxa"/>
          <w:left w:w="0" w:type="dxa"/>
          <w:bottom w:w="0" w:type="dxa"/>
          <w:right w:w="0" w:type="dxa"/>
        </w:tblCellMar>
      </w:tblPr>
      <w:tblGrid>
        <w:gridCol w:w="2341"/>
        <w:gridCol w:w="406"/>
        <w:gridCol w:w="3211"/>
      </w:tblGrid>
      <w:tr>
        <w:trPr/>
        <w:tc>
          <w:tcPr>
            <w:tcW w:w="2341" w:type="dxa"/>
            <w:tcBorders/>
            <w:vAlign w:val="center"/>
          </w:tcPr>
          <w:p>
            <w:pPr>
              <w:pStyle w:val="TableContents"/>
              <w:bidi w:val="0"/>
              <w:spacing w:lineRule="auto" w:line="285" w:before="0" w:after="0"/>
              <w:ind w:left="0" w:right="0" w:hanging="0"/>
              <w:jc w:val="left"/>
              <w:rPr/>
            </w:pPr>
            <w:r>
              <w:rPr/>
              <w:t>​</w:t>
            </w:r>
          </w:p>
        </w:tc>
        <w:tc>
          <w:tcPr>
            <w:tcW w:w="3617"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234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3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234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234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34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34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3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234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234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0"/>
        <w:ind w:left="0" w:right="0" w:hanging="0"/>
        <w:jc w:val="right"/>
        <w:rPr>
          <w:rFonts w:ascii="Times New Roman;Times;serif" w:hAnsi="Times New Roman;Times;serif"/>
          <w:b/>
          <w:sz w:val="20"/>
        </w:rPr>
      </w:pPr>
      <w:bookmarkStart w:id="974" w:name="dwsn-20250930xex31d1.htm"/>
      <w:bookmarkStart w:id="975" w:name="ksdwsn20250930xex31d1"/>
      <w:bookmarkEnd w:id="974"/>
      <w:bookmarkEnd w:id="975"/>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William A. Clark, certify that:</w:t>
      </w:r>
    </w:p>
    <w:p>
      <w:pPr>
        <w:pStyle w:val="TextBody"/>
        <w:bidi w:val="0"/>
        <w:spacing w:lineRule="auto" w:line="285"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70"/>
        <w:gridCol w:w="6980"/>
      </w:tblGrid>
      <w:tr>
        <w:trPr/>
        <w:tc>
          <w:tcPr>
            <w:tcW w:w="1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Dawson Geophysical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center"/>
        <w:rPr/>
      </w:pPr>
      <w:r>
        <w:rPr/>
        <w:t>​</w:t>
      </w:r>
    </w:p>
    <w:tbl>
      <w:tblPr>
        <w:tblW w:w="5522" w:type="dxa"/>
        <w:jc w:val="center"/>
        <w:tblInd w:w="0" w:type="dxa"/>
        <w:tblLayout w:type="fixed"/>
        <w:tblCellMar>
          <w:top w:w="0" w:type="dxa"/>
          <w:left w:w="0" w:type="dxa"/>
          <w:bottom w:w="0" w:type="dxa"/>
          <w:right w:w="0" w:type="dxa"/>
        </w:tblCellMar>
      </w:tblPr>
      <w:tblGrid>
        <w:gridCol w:w="2311"/>
        <w:gridCol w:w="3211"/>
      </w:tblGrid>
      <w:tr>
        <w:trPr/>
        <w:tc>
          <w:tcPr>
            <w:tcW w:w="2311"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76" w:name="dwsn-20250930xex31d2.htm"/>
      <w:bookmarkStart w:id="977" w:name="ksdwsn20250930xex31d2"/>
      <w:bookmarkEnd w:id="976"/>
      <w:bookmarkEnd w:id="977"/>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Ian Shaw, certify that:</w:t>
      </w:r>
    </w:p>
    <w:p>
      <w:pPr>
        <w:pStyle w:val="TextBody"/>
        <w:bidi w:val="0"/>
        <w:spacing w:lineRule="auto" w:line="285"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70"/>
        <w:gridCol w:w="6980"/>
      </w:tblGrid>
      <w:tr>
        <w:trPr/>
        <w:tc>
          <w:tcPr>
            <w:tcW w:w="1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Dawson Geophysical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432" w:right="0" w:hanging="432"/>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center"/>
        <w:rPr/>
      </w:pPr>
      <w:r>
        <w:rPr/>
        <w:t>​</w:t>
      </w:r>
    </w:p>
    <w:tbl>
      <w:tblPr>
        <w:tblW w:w="5957" w:type="dxa"/>
        <w:jc w:val="center"/>
        <w:tblInd w:w="0" w:type="dxa"/>
        <w:tblLayout w:type="fixed"/>
        <w:tblCellMar>
          <w:top w:w="0" w:type="dxa"/>
          <w:left w:w="0" w:type="dxa"/>
          <w:bottom w:w="0" w:type="dxa"/>
          <w:right w:w="0" w:type="dxa"/>
        </w:tblCellMar>
      </w:tblPr>
      <w:tblGrid>
        <w:gridCol w:w="2311"/>
        <w:gridCol w:w="3646"/>
      </w:tblGrid>
      <w:tr>
        <w:trPr/>
        <w:tc>
          <w:tcPr>
            <w:tcW w:w="2311"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78" w:name="dwsn-20250930xex32d1.htm"/>
      <w:bookmarkStart w:id="979" w:name="ksdwsn20250930xex32d1"/>
      <w:bookmarkEnd w:id="978"/>
      <w:bookmarkEnd w:id="979"/>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Dawson Geophysical Company (the “Company”) on Form 10-Q for the period ended September 30, 2025, as filed with the Securities and Exchange Commission (the “Report”), I, William A. Clark, President and Chief Executive Officer of the Company,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(15 U.S.C. 78m or 78o(d));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p>
      <w:pPr>
        <w:pStyle w:val="TextBody"/>
        <w:bidi w:val="0"/>
        <w:spacing w:lineRule="auto" w:line="285" w:before="0" w:after="0"/>
        <w:ind w:left="0" w:right="0" w:hanging="0"/>
        <w:jc w:val="center"/>
        <w:rPr/>
      </w:pPr>
      <w:r>
        <w:rPr/>
        <w:t>​</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William A. Clark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A. Clark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80" w:name="dwsn-20250930xex32d2.htm"/>
      <w:bookmarkStart w:id="981" w:name="ksdwsn20250930xex32d2"/>
      <w:bookmarkEnd w:id="980"/>
      <w:bookmarkEnd w:id="981"/>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Dawson Geophysical Company (the “Company”) on Form 10-Q for the period ended September 30, 2025, as filed with the Securities and Exchange Commission (the “Report”), I, Ian Shaw, Chief Financial Officer of the Company, certify, pursuant to 18 U.S.C. Section 1350, as adopted pursuant to Section 906 of the Sarbanes-Oxley Act of 2002, that to my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(15 U.S.C. 78m or 78o(d));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Dated: November 13, 2025</w:t>
      </w:r>
    </w:p>
    <w:p>
      <w:pPr>
        <w:pStyle w:val="TextBody"/>
        <w:bidi w:val="0"/>
        <w:spacing w:lineRule="auto" w:line="285" w:before="0" w:after="0"/>
        <w:ind w:left="0" w:right="0" w:hanging="0"/>
        <w:jc w:val="center"/>
        <w:rPr/>
      </w:pPr>
      <w:r>
        <w:rPr/>
        <w:t>​</w:t>
      </w:r>
    </w:p>
    <w:tbl>
      <w:tblPr>
        <w:tblW w:w="3770" w:type="dxa"/>
        <w:jc w:val="center"/>
        <w:tblInd w:w="0" w:type="dxa"/>
        <w:tblLayout w:type="fixed"/>
        <w:tblCellMar>
          <w:top w:w="0" w:type="dxa"/>
          <w:left w:w="0" w:type="dxa"/>
          <w:bottom w:w="0" w:type="dxa"/>
          <w:right w:w="0" w:type="dxa"/>
        </w:tblCellMar>
      </w:tblPr>
      <w:tblGrid>
        <w:gridCol w:w="124"/>
        <w:gridCol w:w="3646"/>
      </w:tblGrid>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9165/000110465915020069/a15-5087_1ex3d1.htm" TargetMode="External"/><Relationship Id="rId3" Type="http://schemas.openxmlformats.org/officeDocument/2006/relationships/hyperlink" Target="https://www.sec.gov/Archives/edgar/data/799165/000110465915020069/a15-5087_1ex3d1.htm" TargetMode="External"/><Relationship Id="rId4" Type="http://schemas.openxmlformats.org/officeDocument/2006/relationships/hyperlink" Target="https://www.sec.gov/Archives/edgar/data/799165/000110465923122834/tm2331966d1_ex3-1.htm" TargetMode="External"/><Relationship Id="rId5" Type="http://schemas.openxmlformats.org/officeDocument/2006/relationships/hyperlink" Target="https://www.sec.gov/Archives/edgar/data/799165/000110465923122834/tm2331966d1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14500</Words>
  <Characters>80229</Characters>
  <CharactersWithSpaces>96491</CharactersWithSpaces>
  <Paragraphs>5267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