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Pursuant to Section 13 or 15(d)</w:t>
      </w:r>
    </w:p>
    <w:p>
      <w:pPr>
        <w:jc w:val="center"/>
        <w:ind w:right="4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February 13, 2015</w:t>
      </w:r>
    </w:p>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DAWSON GEOPHYSICAL COMPANY</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60"/>
          </w:cols>
          <w:pgMar w:left="240" w:top="544" w:right="199" w:bottom="0" w:gutter="0" w:footer="0" w:header="0"/>
        </w:sectPr>
      </w:pPr>
    </w:p>
    <w:p>
      <w:pPr>
        <w:spacing w:after="0" w:line="205" w:lineRule="exact"/>
        <w:rPr>
          <w:sz w:val="24"/>
          <w:szCs w:val="24"/>
          <w:color w:val="auto"/>
        </w:rPr>
      </w:pPr>
    </w:p>
    <w:p>
      <w:pPr>
        <w:jc w:val="center"/>
        <w:ind w:right="380"/>
        <w:spacing w:after="0"/>
        <w:rPr>
          <w:sz w:val="20"/>
          <w:szCs w:val="20"/>
          <w:color w:val="auto"/>
        </w:rPr>
      </w:pPr>
      <w:r>
        <w:rPr>
          <w:rFonts w:ascii="Arial" w:cs="Arial" w:eastAsia="Arial" w:hAnsi="Arial"/>
          <w:sz w:val="18"/>
          <w:szCs w:val="18"/>
          <w:b w:val="1"/>
          <w:bCs w:val="1"/>
          <w:color w:val="auto"/>
        </w:rPr>
        <w:t>TEXAS</w:t>
      </w:r>
    </w:p>
    <w:p>
      <w:pPr>
        <w:spacing w:after="0" w:line="27" w:lineRule="exact"/>
        <w:rPr>
          <w:sz w:val="24"/>
          <w:szCs w:val="24"/>
          <w:color w:val="auto"/>
        </w:rPr>
      </w:pPr>
    </w:p>
    <w:p>
      <w:pPr>
        <w:jc w:val="center"/>
        <w:ind w:right="38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001-32472</w:t>
      </w:r>
    </w:p>
    <w:p>
      <w:pPr>
        <w:spacing w:after="0" w:line="27" w:lineRule="exact"/>
        <w:rPr>
          <w:sz w:val="24"/>
          <w:szCs w:val="24"/>
          <w:color w:val="auto"/>
        </w:rPr>
      </w:pPr>
    </w:p>
    <w:p>
      <w:pPr>
        <w:jc w:val="center"/>
        <w:ind w:right="7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440"/>
        <w:spacing w:after="0"/>
        <w:rPr>
          <w:sz w:val="20"/>
          <w:szCs w:val="20"/>
          <w:color w:val="auto"/>
        </w:rPr>
      </w:pPr>
      <w:r>
        <w:rPr>
          <w:rFonts w:ascii="Arial" w:cs="Arial" w:eastAsia="Arial" w:hAnsi="Arial"/>
          <w:sz w:val="18"/>
          <w:szCs w:val="18"/>
          <w:b w:val="1"/>
          <w:bCs w:val="1"/>
          <w:color w:val="auto"/>
        </w:rPr>
        <w:t>74-2095844</w:t>
      </w:r>
    </w:p>
    <w:p>
      <w:pPr>
        <w:spacing w:after="0" w:line="27" w:lineRule="exact"/>
        <w:rPr>
          <w:sz w:val="24"/>
          <w:szCs w:val="24"/>
          <w:color w:val="auto"/>
        </w:rPr>
      </w:pPr>
    </w:p>
    <w:p>
      <w:pPr>
        <w:jc w:val="center"/>
        <w:ind w:right="440"/>
        <w:spacing w:after="0"/>
        <w:rPr>
          <w:sz w:val="20"/>
          <w:szCs w:val="20"/>
          <w:color w:val="auto"/>
        </w:rPr>
      </w:pPr>
      <w:r>
        <w:rPr>
          <w:rFonts w:ascii="Arial" w:cs="Arial" w:eastAsia="Arial" w:hAnsi="Arial"/>
          <w:sz w:val="16"/>
          <w:szCs w:val="16"/>
          <w:color w:val="auto"/>
        </w:rPr>
        <w:t>(I.R.S. employer identification number)</w:t>
      </w:r>
    </w:p>
    <w:p>
      <w:pPr>
        <w:spacing w:after="0" w:line="32" w:lineRule="exact"/>
        <w:rPr>
          <w:sz w:val="24"/>
          <w:szCs w:val="24"/>
          <w:color w:val="auto"/>
        </w:rPr>
      </w:pPr>
    </w:p>
    <w:p>
      <w:pPr>
        <w:sectPr>
          <w:pgSz w:w="11900" w:h="16838" w:orient="portrait"/>
          <w:cols w:equalWidth="0" w:num="3">
            <w:col w:w="4060" w:space="720"/>
            <w:col w:w="2660" w:space="720"/>
            <w:col w:w="3300"/>
          </w:cols>
          <w:pgMar w:left="240" w:top="544" w:right="199" w:bottom="0" w:gutter="0" w:footer="0" w:header="0"/>
          <w:type w:val="continuous"/>
        </w:sectPr>
      </w:pPr>
    </w:p>
    <w:p>
      <w:pPr>
        <w:ind w:left="1260"/>
        <w:spacing w:after="0"/>
        <w:rPr>
          <w:sz w:val="20"/>
          <w:szCs w:val="20"/>
          <w:color w:val="auto"/>
        </w:rPr>
      </w:pPr>
      <w:r>
        <w:rPr>
          <w:rFonts w:ascii="Arial" w:cs="Arial" w:eastAsia="Arial" w:hAnsi="Arial"/>
          <w:sz w:val="18"/>
          <w:szCs w:val="18"/>
          <w:color w:val="auto"/>
        </w:rPr>
        <w:t>or organization)</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508 West Wall, Suite 800</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Midland, Texas 79701</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(432) 684-3000</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60"/>
          </w:cols>
          <w:pgMar w:left="240" w:top="544" w:right="199" w:bottom="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520" w:hanging="188"/>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20" w:hanging="188"/>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20" w:hanging="188"/>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20" w:hanging="188"/>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4"/>
          <w:szCs w:val="24"/>
          <w:color w:val="auto"/>
        </w:rPr>
      </w:pPr>
    </w:p>
    <w:p>
      <w:pPr>
        <w:ind w:right="100" w:firstLine="648"/>
        <w:spacing w:after="0" w:line="273" w:lineRule="auto"/>
        <w:rPr>
          <w:sz w:val="20"/>
          <w:szCs w:val="20"/>
          <w:color w:val="auto"/>
        </w:rPr>
      </w:pPr>
      <w:r>
        <w:rPr>
          <w:rFonts w:ascii="Arial" w:cs="Arial" w:eastAsia="Arial" w:hAnsi="Arial"/>
          <w:sz w:val="17"/>
          <w:szCs w:val="17"/>
          <w:color w:val="auto"/>
        </w:rPr>
        <w:t>On February 13, 2015, Dawson Geophysical Company (the “Registrant”) announced that Stephen Jumper, its President and Chief Executive Officer, is scheduled to present at The Oil &amp; Services Conference 13 hosted by EnerCom, Inc. on Wednesday, February 18, in San Francisco, California, beginning at 4:25 p.m., Pacific Time. The presentation will be webcast live on the Registrant’s web site and may be accessed at www.dawson3d.com by clicking on the Investor Relations link. Replay of the webcast will be available on the Registrant’s web site for 30 days following the event. A copy of the presentation materials may be accessed at www.dawson3d.com by clicking on the Investor Relations link or by contacting the Registrant’s executive offices at 1-800-332-9766. The information contained on the Registrant’s web site is not incorporated by reference herein.</w:t>
      </w:r>
    </w:p>
    <w:p>
      <w:pPr>
        <w:spacing w:after="0" w:line="178" w:lineRule="exact"/>
        <w:rPr>
          <w:sz w:val="24"/>
          <w:szCs w:val="24"/>
          <w:color w:val="auto"/>
        </w:rPr>
      </w:pPr>
    </w:p>
    <w:p>
      <w:pPr>
        <w:ind w:right="140" w:firstLine="648"/>
        <w:spacing w:after="0" w:line="264" w:lineRule="auto"/>
        <w:rPr>
          <w:sz w:val="20"/>
          <w:szCs w:val="20"/>
          <w:color w:val="auto"/>
        </w:rPr>
      </w:pPr>
      <w:r>
        <w:rPr>
          <w:rFonts w:ascii="Arial" w:cs="Arial" w:eastAsia="Arial" w:hAnsi="Arial"/>
          <w:sz w:val="18"/>
          <w:szCs w:val="18"/>
          <w:color w:val="auto"/>
        </w:rPr>
        <w:t>The press release announcing the presentation is furnished as Exhibit 99.1 to this Current Report. Pursuant to the rules and regulations of the Securities and Exchange Commission, such exhibit and the information set forth therein and herein are deemed to be furnished and shall not be deemed to be “filed” under the Securities Exchange Act of 1934, as amended (the “Exchange Act”).</w:t>
      </w:r>
    </w:p>
    <w:p>
      <w:pPr>
        <w:spacing w:after="0" w:line="177" w:lineRule="exact"/>
        <w:rPr>
          <w:sz w:val="24"/>
          <w:szCs w:val="24"/>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4"/>
          <w:szCs w:val="24"/>
          <w:color w:val="auto"/>
        </w:rPr>
      </w:pPr>
    </w:p>
    <w:p>
      <w:pPr>
        <w:ind w:left="1320" w:hanging="664"/>
        <w:spacing w:after="0"/>
        <w:tabs>
          <w:tab w:leader="none" w:pos="13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Exhibits</w:t>
      </w:r>
      <w:r>
        <w:rPr>
          <w:rFonts w:ascii="Arial" w:cs="Arial" w:eastAsia="Arial" w:hAnsi="Arial"/>
          <w:sz w:val="18"/>
          <w:szCs w:val="18"/>
          <w:b w:val="1"/>
          <w:bCs w:val="1"/>
          <w:color w:val="auto"/>
        </w:rPr>
        <w:t>.</w:t>
      </w:r>
    </w:p>
    <w:p>
      <w:pPr>
        <w:spacing w:after="0" w:line="229" w:lineRule="exact"/>
        <w:rPr>
          <w:sz w:val="24"/>
          <w:szCs w:val="24"/>
          <w:color w:val="auto"/>
        </w:rPr>
      </w:pPr>
    </w:p>
    <w:p>
      <w:pPr>
        <w:ind w:right="120" w:firstLine="648"/>
        <w:spacing w:after="0" w:line="277" w:lineRule="auto"/>
        <w:rPr>
          <w:sz w:val="20"/>
          <w:szCs w:val="20"/>
          <w:color w:val="auto"/>
        </w:rPr>
      </w:pPr>
      <w:r>
        <w:rPr>
          <w:rFonts w:ascii="Arial" w:cs="Arial" w:eastAsia="Arial" w:hAnsi="Arial"/>
          <w:sz w:val="18"/>
          <w:szCs w:val="18"/>
          <w:color w:val="auto"/>
        </w:rPr>
        <w:t>In accordance with General Instruction B.2 of Form 8-K, the information set forth in the attached Exhibit 99.1 is deemed to be “furnished” and shall not be deemed to be “filed” for purposes of Section 18 of the Exchange Act.</w:t>
      </w:r>
    </w:p>
    <w:p>
      <w:pPr>
        <w:spacing w:after="0" w:line="15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800" w:type="dxa"/>
            <w:vAlign w:val="bottom"/>
            <w:gridSpan w:val="2"/>
          </w:tcPr>
          <w:p>
            <w:pPr>
              <w:ind w:left="660"/>
              <w:spacing w:after="0"/>
              <w:rPr>
                <w:sz w:val="20"/>
                <w:szCs w:val="20"/>
                <w:color w:val="auto"/>
              </w:rPr>
            </w:pPr>
            <w:r>
              <w:rPr>
                <w:rFonts w:ascii="Arial" w:cs="Arial" w:eastAsia="Arial" w:hAnsi="Arial"/>
                <w:sz w:val="14"/>
                <w:szCs w:val="14"/>
                <w:b w:val="1"/>
                <w:bCs w:val="1"/>
                <w:color w:val="auto"/>
              </w:rPr>
              <w:t>EXHIBIT</w:t>
            </w:r>
          </w:p>
        </w:tc>
        <w:tc>
          <w:tcPr>
            <w:tcW w:w="1020" w:type="dxa"/>
            <w:vAlign w:val="bottom"/>
          </w:tcPr>
          <w:p>
            <w:pPr>
              <w:spacing w:after="0"/>
              <w:rPr>
                <w:sz w:val="14"/>
                <w:szCs w:val="14"/>
                <w:color w:val="auto"/>
              </w:rPr>
            </w:pPr>
          </w:p>
        </w:tc>
        <w:tc>
          <w:tcPr>
            <w:tcW w:w="8480" w:type="dxa"/>
            <w:vAlign w:val="bottom"/>
            <w:vMerge w:val="restart"/>
          </w:tcPr>
          <w:p>
            <w:pPr>
              <w:jc w:val="right"/>
              <w:ind w:right="3659"/>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800" w:type="dxa"/>
            <w:vAlign w:val="bottom"/>
            <w:gridSpan w:val="2"/>
          </w:tcPr>
          <w:p>
            <w:pPr>
              <w:ind w:left="660"/>
              <w:spacing w:after="0"/>
              <w:rPr>
                <w:sz w:val="20"/>
                <w:szCs w:val="20"/>
                <w:color w:val="auto"/>
              </w:rPr>
            </w:pPr>
            <w:r>
              <w:rPr>
                <w:rFonts w:ascii="Arial" w:cs="Arial" w:eastAsia="Arial" w:hAnsi="Arial"/>
                <w:sz w:val="14"/>
                <w:szCs w:val="14"/>
                <w:b w:val="1"/>
                <w:bCs w:val="1"/>
                <w:color w:val="auto"/>
              </w:rPr>
              <w:t>NUMBER</w:t>
            </w:r>
          </w:p>
        </w:tc>
        <w:tc>
          <w:tcPr>
            <w:tcW w:w="1020" w:type="dxa"/>
            <w:vAlign w:val="bottom"/>
            <w:vMerge w:val="restart"/>
          </w:tcPr>
          <w:p>
            <w:pPr>
              <w:ind w:left="600"/>
              <w:spacing w:after="0"/>
              <w:rPr>
                <w:sz w:val="20"/>
                <w:szCs w:val="20"/>
                <w:color w:val="auto"/>
              </w:rPr>
            </w:pPr>
            <w:r>
              <w:rPr>
                <w:rFonts w:ascii="Arial" w:cs="Arial" w:eastAsia="Arial" w:hAnsi="Arial"/>
                <w:sz w:val="18"/>
                <w:szCs w:val="18"/>
                <w:color w:val="auto"/>
              </w:rPr>
              <w:t>—</w:t>
            </w:r>
          </w:p>
        </w:tc>
        <w:tc>
          <w:tcPr>
            <w:tcW w:w="84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660" w:type="dxa"/>
            <w:vAlign w:val="bottom"/>
          </w:tcPr>
          <w:p>
            <w:pPr>
              <w:spacing w:after="0"/>
              <w:rPr>
                <w:sz w:val="19"/>
                <w:szCs w:val="19"/>
                <w:color w:val="auto"/>
              </w:rPr>
            </w:pPr>
          </w:p>
        </w:tc>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1020" w:type="dxa"/>
            <w:vAlign w:val="bottom"/>
            <w:vMerge w:val="continue"/>
          </w:tcPr>
          <w:p>
            <w:pPr>
              <w:spacing w:after="0"/>
              <w:rPr>
                <w:sz w:val="19"/>
                <w:szCs w:val="19"/>
                <w:color w:val="auto"/>
              </w:rPr>
            </w:pPr>
          </w:p>
        </w:tc>
        <w:tc>
          <w:tcPr>
            <w:tcW w:w="8480" w:type="dxa"/>
            <w:vAlign w:val="bottom"/>
            <w:tcBorders>
              <w:top w:val="single" w:sz="8" w:color="auto"/>
            </w:tcBorders>
          </w:tcPr>
          <w:p>
            <w:pPr>
              <w:jc w:val="right"/>
              <w:ind w:right="5619"/>
              <w:spacing w:after="0"/>
              <w:rPr>
                <w:sz w:val="20"/>
                <w:szCs w:val="20"/>
                <w:color w:val="auto"/>
              </w:rPr>
            </w:pPr>
            <w:r>
              <w:rPr>
                <w:rFonts w:ascii="Arial" w:cs="Arial" w:eastAsia="Arial" w:hAnsi="Arial"/>
                <w:sz w:val="18"/>
                <w:szCs w:val="18"/>
                <w:color w:val="auto"/>
                <w:w w:val="87"/>
              </w:rPr>
              <w:t>Press release dated February 13, 2015.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500" w:type="dxa"/>
            <w:vAlign w:val="bottom"/>
            <w:gridSpan w:val="2"/>
          </w:tcPr>
          <w:p>
            <w:pPr>
              <w:jc w:val="right"/>
              <w:ind w:right="5459"/>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84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44" w:right="199" w:bottom="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640" w:type="dxa"/>
            <w:vAlign w:val="bottom"/>
            <w:gridSpan w:val="3"/>
          </w:tcPr>
          <w:p>
            <w:pPr>
              <w:ind w:left="2940"/>
              <w:spacing w:after="0"/>
              <w:rPr>
                <w:sz w:val="20"/>
                <w:szCs w:val="20"/>
                <w:color w:val="auto"/>
              </w:rPr>
            </w:pPr>
            <w:r>
              <w:rPr>
                <w:rFonts w:ascii="Arial" w:cs="Arial" w:eastAsia="Arial" w:hAnsi="Arial"/>
                <w:sz w:val="18"/>
                <w:szCs w:val="18"/>
                <w:color w:val="auto"/>
              </w:rPr>
              <w:t>DAWSON GEOPHYSICAL COMPANY</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1800" w:type="dxa"/>
            <w:vAlign w:val="bottom"/>
            <w:gridSpan w:val="2"/>
          </w:tcPr>
          <w:p>
            <w:pPr>
              <w:spacing w:after="0"/>
              <w:rPr>
                <w:sz w:val="20"/>
                <w:szCs w:val="20"/>
                <w:color w:val="auto"/>
              </w:rPr>
            </w:pPr>
            <w:r>
              <w:rPr>
                <w:rFonts w:ascii="Arial" w:cs="Arial" w:eastAsia="Arial" w:hAnsi="Arial"/>
                <w:sz w:val="18"/>
                <w:szCs w:val="18"/>
                <w:color w:val="auto"/>
                <w:w w:val="91"/>
              </w:rPr>
              <w:t>Date: February 13, 2015</w:t>
            </w:r>
          </w:p>
        </w:tc>
        <w:tc>
          <w:tcPr>
            <w:tcW w:w="980" w:type="dxa"/>
            <w:vAlign w:val="bottom"/>
          </w:tcPr>
          <w:p>
            <w:pPr>
              <w:spacing w:after="0"/>
              <w:rPr>
                <w:sz w:val="24"/>
                <w:szCs w:val="24"/>
                <w:color w:val="auto"/>
              </w:rPr>
            </w:pPr>
          </w:p>
        </w:tc>
        <w:tc>
          <w:tcPr>
            <w:tcW w:w="8640" w:type="dxa"/>
            <w:vAlign w:val="bottom"/>
            <w:gridSpan w:val="3"/>
          </w:tcPr>
          <w:p>
            <w:pPr>
              <w:ind w:left="2940"/>
              <w:spacing w:after="0"/>
              <w:rPr>
                <w:sz w:val="20"/>
                <w:szCs w:val="20"/>
                <w:color w:val="auto"/>
              </w:rPr>
            </w:pPr>
            <w:r>
              <w:rPr>
                <w:rFonts w:ascii="Arial" w:cs="Arial" w:eastAsia="Arial" w:hAnsi="Arial"/>
                <w:sz w:val="18"/>
                <w:szCs w:val="18"/>
                <w:color w:val="auto"/>
              </w:rPr>
              <w:t>By:   /s/ Christina W. Hagan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6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518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Christina W. Hagan</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Executive Vice President, Secretary and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Chief Accounting Officer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40" w:type="dxa"/>
            <w:vAlign w:val="bottom"/>
            <w:gridSpan w:val="2"/>
          </w:tcPr>
          <w:p>
            <w:pPr>
              <w:jc w:val="center"/>
              <w:ind w:left="3290"/>
              <w:spacing w:after="0"/>
              <w:rPr>
                <w:sz w:val="20"/>
                <w:szCs w:val="20"/>
                <w:color w:val="auto"/>
              </w:rPr>
            </w:pPr>
            <w:r>
              <w:rPr>
                <w:rFonts w:ascii="Arial" w:cs="Arial" w:eastAsia="Arial" w:hAnsi="Arial"/>
                <w:sz w:val="18"/>
                <w:szCs w:val="18"/>
                <w:color w:val="auto"/>
                <w:w w:val="99"/>
              </w:rPr>
              <w:t>3</w:t>
            </w:r>
          </w:p>
        </w:tc>
        <w:tc>
          <w:tcPr>
            <w:tcW w:w="5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8520" w:type="dxa"/>
            <w:vAlign w:val="bottom"/>
            <w:tcBorders>
              <w:bottom w:val="single" w:sz="8" w:color="010101"/>
            </w:tcBorders>
            <w:gridSpan w:val="2"/>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40" w:type="dxa"/>
            <w:vAlign w:val="bottom"/>
            <w:gridSpan w:val="3"/>
          </w:tcPr>
          <w:p>
            <w:pPr>
              <w:jc w:val="center"/>
              <w:ind w:right="2760"/>
              <w:spacing w:after="0"/>
              <w:rPr>
                <w:sz w:val="20"/>
                <w:szCs w:val="20"/>
                <w:color w:val="auto"/>
              </w:rPr>
            </w:pPr>
            <w:r>
              <w:rPr>
                <w:rFonts w:ascii="Arial" w:cs="Arial" w:eastAsia="Arial" w:hAnsi="Arial"/>
                <w:sz w:val="18"/>
                <w:szCs w:val="18"/>
                <w:b w:val="1"/>
                <w:bCs w:val="1"/>
                <w:color w:val="auto"/>
              </w:rPr>
              <w:t>INDEX TO EXHIBITS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800" w:type="dxa"/>
            <w:vAlign w:val="bottom"/>
            <w:gridSpan w:val="2"/>
          </w:tcPr>
          <w:p>
            <w:pPr>
              <w:ind w:left="660"/>
              <w:spacing w:after="0"/>
              <w:rPr>
                <w:sz w:val="20"/>
                <w:szCs w:val="20"/>
                <w:color w:val="auto"/>
              </w:rPr>
            </w:pPr>
            <w:r>
              <w:rPr>
                <w:rFonts w:ascii="Arial" w:cs="Arial" w:eastAsia="Arial" w:hAnsi="Arial"/>
                <w:sz w:val="14"/>
                <w:szCs w:val="14"/>
                <w:b w:val="1"/>
                <w:bCs w:val="1"/>
                <w:color w:val="auto"/>
              </w:rPr>
              <w:t>EXHIBIT</w:t>
            </w:r>
          </w:p>
        </w:tc>
        <w:tc>
          <w:tcPr>
            <w:tcW w:w="9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1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800" w:type="dxa"/>
            <w:vAlign w:val="bottom"/>
            <w:gridSpan w:val="2"/>
          </w:tcPr>
          <w:p>
            <w:pPr>
              <w:ind w:left="660"/>
              <w:spacing w:after="0"/>
              <w:rPr>
                <w:sz w:val="20"/>
                <w:szCs w:val="20"/>
                <w:color w:val="auto"/>
              </w:rPr>
            </w:pPr>
            <w:r>
              <w:rPr>
                <w:rFonts w:ascii="Arial" w:cs="Arial" w:eastAsia="Arial" w:hAnsi="Arial"/>
                <w:sz w:val="14"/>
                <w:szCs w:val="14"/>
                <w:b w:val="1"/>
                <w:bCs w:val="1"/>
                <w:color w:val="auto"/>
              </w:rPr>
              <w:t>NUMBER</w:t>
            </w:r>
          </w:p>
        </w:tc>
        <w:tc>
          <w:tcPr>
            <w:tcW w:w="980" w:type="dxa"/>
            <w:vAlign w:val="bottom"/>
            <w:vMerge w:val="restart"/>
          </w:tcPr>
          <w:p>
            <w:pPr>
              <w:ind w:left="580"/>
              <w:spacing w:after="0"/>
              <w:rPr>
                <w:sz w:val="20"/>
                <w:szCs w:val="20"/>
                <w:color w:val="auto"/>
              </w:rPr>
            </w:pPr>
            <w:r>
              <w:rPr>
                <w:rFonts w:ascii="Arial" w:cs="Arial" w:eastAsia="Arial" w:hAnsi="Arial"/>
                <w:sz w:val="18"/>
                <w:szCs w:val="18"/>
                <w:color w:val="auto"/>
              </w:rPr>
              <w:t>—</w:t>
            </w:r>
          </w:p>
        </w:tc>
        <w:tc>
          <w:tcPr>
            <w:tcW w:w="3460" w:type="dxa"/>
            <w:vAlign w:val="bottom"/>
          </w:tcPr>
          <w:p>
            <w:pPr>
              <w:spacing w:after="0"/>
              <w:rPr>
                <w:sz w:val="14"/>
                <w:szCs w:val="14"/>
                <w:color w:val="auto"/>
              </w:rPr>
            </w:pPr>
          </w:p>
        </w:tc>
        <w:tc>
          <w:tcPr>
            <w:tcW w:w="51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660" w:type="dxa"/>
            <w:vAlign w:val="bottom"/>
          </w:tcPr>
          <w:p>
            <w:pPr>
              <w:spacing w:after="0"/>
              <w:rPr>
                <w:sz w:val="19"/>
                <w:szCs w:val="19"/>
                <w:color w:val="auto"/>
              </w:rPr>
            </w:pPr>
          </w:p>
        </w:tc>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980" w:type="dxa"/>
            <w:vAlign w:val="bottom"/>
            <w:vMerge w:val="continue"/>
          </w:tcPr>
          <w:p>
            <w:pPr>
              <w:spacing w:after="0"/>
              <w:rPr>
                <w:sz w:val="19"/>
                <w:szCs w:val="19"/>
                <w:color w:val="auto"/>
              </w:rPr>
            </w:pPr>
          </w:p>
        </w:tc>
        <w:tc>
          <w:tcPr>
            <w:tcW w:w="85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Press release dated February 13, 2015.</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40" w:type="dxa"/>
            <w:vAlign w:val="bottom"/>
            <w:gridSpan w:val="2"/>
          </w:tcPr>
          <w:p>
            <w:pPr>
              <w:jc w:val="center"/>
              <w:ind w:left="3290"/>
              <w:spacing w:after="0"/>
              <w:rPr>
                <w:sz w:val="20"/>
                <w:szCs w:val="20"/>
                <w:color w:val="auto"/>
              </w:rPr>
            </w:pPr>
            <w:r>
              <w:rPr>
                <w:rFonts w:ascii="Arial" w:cs="Arial" w:eastAsia="Arial" w:hAnsi="Arial"/>
                <w:sz w:val="18"/>
                <w:szCs w:val="18"/>
                <w:color w:val="auto"/>
                <w:w w:val="99"/>
              </w:rPr>
              <w:t>4</w:t>
            </w:r>
          </w:p>
        </w:tc>
        <w:tc>
          <w:tcPr>
            <w:tcW w:w="5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3460" w:type="dxa"/>
            <w:vAlign w:val="bottom"/>
            <w:tcBorders>
              <w:bottom w:val="single" w:sz="8" w:color="010101"/>
            </w:tcBorders>
          </w:tcPr>
          <w:p>
            <w:pPr>
              <w:spacing w:after="0"/>
              <w:rPr>
                <w:sz w:val="11"/>
                <w:szCs w:val="11"/>
                <w:color w:val="auto"/>
              </w:rPr>
            </w:pPr>
          </w:p>
        </w:tc>
        <w:tc>
          <w:tcPr>
            <w:tcW w:w="50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-1367155</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-1367155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80"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5871210</wp:posOffset>
            </wp:positionH>
            <wp:positionV relativeFrom="paragraph">
              <wp:posOffset>154940</wp:posOffset>
            </wp:positionV>
            <wp:extent cx="1380490" cy="7543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80490" cy="75438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NEWS RELEASE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Dawson Geophysical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508 W. Wall, Suite 800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Midland, TX 79701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Christina W. Hagan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9" w:lineRule="exact"/>
        <w:rPr>
          <w:sz w:val="20"/>
          <w:szCs w:val="20"/>
          <w:color w:val="auto"/>
        </w:rPr>
      </w:pPr>
    </w:p>
    <w:p>
      <w:pPr>
        <w:ind w:right="9900" w:firstLine="8"/>
        <w:spacing w:after="0" w:line="323" w:lineRule="auto"/>
        <w:tabs>
          <w:tab w:leader="none" w:pos="435" w:val="left"/>
        </w:tabs>
        <w:numPr>
          <w:ilvl w:val="0"/>
          <w:numId w:val="3"/>
        </w:numPr>
        <w:rPr>
          <w:rFonts w:ascii="Arial" w:cs="Arial" w:eastAsia="Arial" w:hAnsi="Arial"/>
          <w:sz w:val="16"/>
          <w:szCs w:val="16"/>
          <w:color w:val="auto"/>
        </w:rPr>
      </w:pPr>
      <w:r>
        <w:rPr>
          <w:rFonts w:ascii="Arial" w:cs="Arial" w:eastAsia="Arial" w:hAnsi="Arial"/>
          <w:sz w:val="16"/>
          <w:szCs w:val="16"/>
          <w:color w:val="auto"/>
        </w:rPr>
        <w:t>332-9766 www.dawson3d.com</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Dawson Geophysical to Present at EnerCom’s Oil &amp; Services Conference 13</w:t>
      </w:r>
    </w:p>
    <w:p>
      <w:pPr>
        <w:spacing w:after="0" w:line="22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MIDLAND, Texas, February 13, 2015/PRNewswire-FirstCall/—Stephen Jumper, President and Chief Executive Officer of Dawson Geophysical Company (NASDAQ: DWSN) (the “Company”), is scheduled to present at The Oil &amp; Services Conference 13 hosted by EnerCom, Inc. on Wednesday, February 18, in San Francisco, California, beginning at 4:25 p.m. Pacific Time. A live webcast of Mr. Jumper’s presentation can be accessed at http://www.dawson3d.com and will be archived on the Company’s web site for 30 days. The live presentation will also be available and archived for up to a year at http://www.theoilandservicesconference.com. A copy of the presentation materials may be accessed at www.dawson3d.com by clicking on the Investor Relations link or by contacting the Company’s executive offices at 1-800-332-9766.</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Dawson Geophysical Company</w:t>
      </w:r>
    </w:p>
    <w:p>
      <w:pPr>
        <w:spacing w:after="0" w:line="225"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Dawson Geophysical Company is a leading provider of U.S. onshore seismic data acquisition services with operations throughout the continental United States and Canada. Dawson acquires and processes 2-D, 3-D and multi-component seismic data solely for its clients, ranging from major oil and gas companies to independent oil and gas operators as well as providers of multi-client data libraries.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 accordance with the Safe Harbor provisions of the Private Securities Litigation Reform Act of 1995, the Company cautions that statements in this press release which are forward-looking and which provide other than historical information involve risks and uncertainties that may materially affect the Company’s actual results of operations. Such forward looking statements are based on the beliefs of management as well as assumptions made by and information currently available to management. Actual results could differ materially from those contemplated by the forward looking statements as a result of certain factors. These risks include but are not limited to the volatility of oil and natural gas prices; dependence upon energy industry spending; industry competition; reduced utilization; delays, reductions or cancellations of service contracts; high fixed costs of operations and high capital requirements; external factors affecting the Company’s crews such as weather interruptions and inability to obtain land access rights of way; disruptions in the global economy; whether the Company enters into turnkey or dayrate contracts; crew productivity; the limited number of clients; credit risk related to clients; and the availability of capital resources. A discussion of these and other factors, including risks and uncertainties, is set forth in the Form 10-K for the fiscal year ended September 30, 2014 filed by Dawson Operating Company (formerly known as Dawson Geophysical Company) on December 15, 2014 and in the Registration Statement on Form S-4 filed by the Company (formerly known as TGC Industries, Inc.) on November 6, 2014. The Company disclaims any intention or obligation to revise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182880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800"/>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2019-12-06T00:09:27Z</dcterms:created>
  <dcterms:modified xsi:type="dcterms:W3CDTF">2019-12-06T00:09:27Z</dcterms:modified>
</cp:coreProperties>
</file>