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-10795</wp:posOffset>
            </wp:positionV>
            <wp:extent cx="142875" cy="193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193675"/>
                    </a:xfrm>
                    <a:prstGeom prst="rect">
                      <a:avLst/>
                    </a:prstGeom>
                    <a:noFill/>
                  </pic:spPr>
                </pic:pic>
              </a:graphicData>
            </a:graphic>
          </wp:anchor>
        </w:drawing>
      </w:r>
    </w:p>
    <w:p>
      <w:pPr>
        <w:jc w:val="both"/>
        <w:ind w:left="340" w:right="360" w:hanging="255"/>
        <w:spacing w:after="0" w:line="184"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5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829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82942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00" w:space="400"/>
            <w:col w:w="8820"/>
          </w:cols>
          <w:pgMar w:left="240" w:top="224" w:right="139" w:bottom="431"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FLYNN EDWARD L</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DAWSON GEOPHYSICAL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DWSN</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4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9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02/11/2015</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7511 MYRTLE AVENUE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9" w:right="680" w:firstLine="9"/>
        <w:spacing w:after="0" w:line="246"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0"/>
          <w:szCs w:val="20"/>
          <w:color w:val="auto"/>
        </w:rPr>
      </w:pPr>
    </w:p>
    <w:p>
      <w:pPr>
        <w:sectPr>
          <w:pgSz w:w="11900" w:h="16838" w:orient="portrait"/>
          <w:cols w:equalWidth="0" w:num="2">
            <w:col w:w="7980" w:space="69"/>
            <w:col w:w="3471"/>
          </w:cols>
          <w:pgMar w:left="240" w:top="224" w:right="139" w:bottom="431" w:gutter="0" w:footer="0" w:header="0"/>
          <w:type w:val="continuous"/>
        </w:sectPr>
      </w:pP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GLENDALE</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11385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0"/>
          <w:szCs w:val="20"/>
          <w:color w:val="auto"/>
        </w:rPr>
      </w:pPr>
    </w:p>
    <w:p>
      <w:pPr>
        <w:sectPr>
          <w:pgSz w:w="11900" w:h="16838" w:orient="portrait"/>
          <w:cols w:equalWidth="0" w:num="2">
            <w:col w:w="3900" w:space="160"/>
            <w:col w:w="7460"/>
          </w:cols>
          <w:pgMar w:left="240" w:top="224" w:right="139" w:bottom="43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4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0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2"/>
              </w:rPr>
              <w:t>441,297</w:t>
            </w:r>
            <w:r>
              <w:rPr>
                <w:rFonts w:ascii="Arial" w:cs="Arial" w:eastAsia="Arial" w:hAnsi="Arial"/>
                <w:sz w:val="22"/>
                <w:szCs w:val="22"/>
                <w:color w:val="008000"/>
                <w:w w:val="82"/>
                <w:vertAlign w:val="superscript"/>
              </w:rPr>
              <w:t>(3)(5)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2"/>
              </w:rPr>
              <w:t>100,977</w:t>
            </w:r>
            <w:r>
              <w:rPr>
                <w:rFonts w:ascii="Arial" w:cs="Arial" w:eastAsia="Arial" w:hAnsi="Arial"/>
                <w:sz w:val="22"/>
                <w:szCs w:val="22"/>
                <w:color w:val="008000"/>
                <w:w w:val="82"/>
                <w:vertAlign w:val="superscript"/>
              </w:rPr>
              <w:t>(1)(3)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Flynn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1"/>
              </w:rPr>
              <w:t>10,129</w:t>
            </w:r>
            <w:r>
              <w:rPr>
                <w:rFonts w:ascii="Arial" w:cs="Arial" w:eastAsia="Arial" w:hAnsi="Arial"/>
                <w:sz w:val="22"/>
                <w:szCs w:val="22"/>
                <w:color w:val="008000"/>
                <w:w w:val="81"/>
                <w:vertAlign w:val="superscript"/>
              </w:rPr>
              <w:t>(2)(3)</w:t>
            </w:r>
          </w:p>
        </w:tc>
        <w:tc>
          <w:tcPr>
            <w:tcW w:w="300" w:type="dxa"/>
            <w:vAlign w:val="bottom"/>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Meyer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PSP&amp;T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0000FF"/>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800" w:type="dxa"/>
            <w:vAlign w:val="bottom"/>
            <w:tcBorders>
              <w:bottom w:val="single" w:sz="8" w:color="2C2C2C"/>
            </w:tcBorders>
            <w:gridSpan w:val="1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5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 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 3 and</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 or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Nonqualified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3"/>
              </w:rPr>
              <w:t>$</w:t>
            </w:r>
            <w:r>
              <w:rPr>
                <w:rFonts w:ascii="Arial" w:cs="Arial" w:eastAsia="Arial" w:hAnsi="Arial"/>
                <w:sz w:val="13"/>
                <w:szCs w:val="13"/>
                <w:color w:val="0000FF"/>
                <w:w w:val="83"/>
              </w:rPr>
              <w:t>17.198</w:t>
            </w:r>
            <w:r>
              <w:rPr>
                <w:rFonts w:ascii="Arial" w:cs="Arial" w:eastAsia="Arial" w:hAnsi="Arial"/>
                <w:sz w:val="22"/>
                <w:szCs w:val="22"/>
                <w:color w:val="008000"/>
                <w:w w:val="83"/>
                <w:vertAlign w:val="superscript"/>
              </w:rPr>
              <w:t>(3)</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100" w:type="dxa"/>
            <w:vAlign w:val="bottom"/>
          </w:tcPr>
          <w:p>
            <w:pPr>
              <w:spacing w:after="0"/>
              <w:rPr>
                <w:sz w:val="16"/>
                <w:szCs w:val="16"/>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7"/>
                <w:szCs w:val="17"/>
                <w:color w:val="0000FF"/>
                <w:w w:val="82"/>
              </w:rPr>
              <w:t>6,187</w:t>
            </w:r>
            <w:r>
              <w:rPr>
                <w:rFonts w:ascii="Arial" w:cs="Arial" w:eastAsia="Arial" w:hAnsi="Arial"/>
                <w:sz w:val="22"/>
                <w:szCs w:val="22"/>
                <w:color w:val="008000"/>
                <w:w w:val="82"/>
                <w:vertAlign w:val="superscript"/>
              </w:rPr>
              <w:t>(3)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3"/>
              </w:rPr>
              <w:t>6,187</w:t>
            </w:r>
            <w:r>
              <w:rPr>
                <w:rFonts w:ascii="Arial" w:cs="Arial" w:eastAsia="Arial" w:hAnsi="Arial"/>
                <w:sz w:val="22"/>
                <w:szCs w:val="22"/>
                <w:color w:val="008000"/>
                <w:w w:val="83"/>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restart"/>
          </w:tcPr>
          <w:p>
            <w:pPr>
              <w:ind w:left="40"/>
              <w:spacing w:after="0" w:line="146" w:lineRule="exact"/>
              <w:rPr>
                <w:sz w:val="20"/>
                <w:szCs w:val="20"/>
                <w:color w:val="auto"/>
              </w:rPr>
            </w:pPr>
            <w:r>
              <w:rPr>
                <w:rFonts w:ascii="Arial" w:cs="Arial" w:eastAsia="Arial" w:hAnsi="Arial"/>
                <w:sz w:val="13"/>
                <w:szCs w:val="13"/>
                <w:color w:val="0000FF"/>
              </w:rPr>
              <w:t>11/20/2016</w:t>
            </w: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Nonqualified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16.7861</w:t>
            </w:r>
            <w:r>
              <w:rPr>
                <w:rFonts w:ascii="Arial" w:cs="Arial" w:eastAsia="Arial" w:hAnsi="Arial"/>
                <w:sz w:val="22"/>
                <w:szCs w:val="22"/>
                <w:color w:val="008000"/>
                <w:w w:val="86"/>
                <w:vertAlign w:val="superscript"/>
              </w:rPr>
              <w:t>(3)</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100" w:type="dxa"/>
            <w:vAlign w:val="bottom"/>
          </w:tcPr>
          <w:p>
            <w:pPr>
              <w:spacing w:after="0"/>
              <w:rPr>
                <w:sz w:val="16"/>
                <w:szCs w:val="16"/>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7"/>
                <w:szCs w:val="17"/>
                <w:color w:val="0000FF"/>
                <w:w w:val="82"/>
              </w:rPr>
              <w:t>6,562</w:t>
            </w:r>
            <w:r>
              <w:rPr>
                <w:rFonts w:ascii="Arial" w:cs="Arial" w:eastAsia="Arial" w:hAnsi="Arial"/>
                <w:sz w:val="22"/>
                <w:szCs w:val="22"/>
                <w:color w:val="008000"/>
                <w:w w:val="82"/>
                <w:vertAlign w:val="superscript"/>
              </w:rPr>
              <w:t>(3)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3"/>
              </w:rPr>
              <w:t>6,562</w:t>
            </w:r>
            <w:r>
              <w:rPr>
                <w:rFonts w:ascii="Arial" w:cs="Arial" w:eastAsia="Arial" w:hAnsi="Arial"/>
                <w:sz w:val="22"/>
                <w:szCs w:val="22"/>
                <w:color w:val="008000"/>
                <w:w w:val="83"/>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restart"/>
          </w:tcPr>
          <w:p>
            <w:pPr>
              <w:ind w:left="40"/>
              <w:spacing w:after="0" w:line="146" w:lineRule="exact"/>
              <w:rPr>
                <w:sz w:val="20"/>
                <w:szCs w:val="20"/>
                <w:color w:val="auto"/>
              </w:rPr>
            </w:pPr>
            <w:r>
              <w:rPr>
                <w:rFonts w:ascii="Arial" w:cs="Arial" w:eastAsia="Arial" w:hAnsi="Arial"/>
                <w:sz w:val="13"/>
                <w:szCs w:val="13"/>
                <w:color w:val="0000FF"/>
              </w:rPr>
              <w:t>08/06/2017</w:t>
            </w: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Nonqualified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21.54</w:t>
            </w:r>
            <w:r>
              <w:rPr>
                <w:rFonts w:ascii="Arial" w:cs="Arial" w:eastAsia="Arial" w:hAnsi="Arial"/>
                <w:sz w:val="22"/>
                <w:szCs w:val="22"/>
                <w:color w:val="008000"/>
                <w:w w:val="87"/>
                <w:vertAlign w:val="superscript"/>
              </w:rPr>
              <w:t>(3)</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100" w:type="dxa"/>
            <w:vAlign w:val="bottom"/>
          </w:tcPr>
          <w:p>
            <w:pPr>
              <w:spacing w:after="0"/>
              <w:rPr>
                <w:sz w:val="16"/>
                <w:szCs w:val="16"/>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7"/>
                <w:szCs w:val="17"/>
                <w:color w:val="0000FF"/>
                <w:w w:val="82"/>
              </w:rPr>
              <w:t>6,599</w:t>
            </w:r>
            <w:r>
              <w:rPr>
                <w:rFonts w:ascii="Arial" w:cs="Arial" w:eastAsia="Arial" w:hAnsi="Arial"/>
                <w:sz w:val="22"/>
                <w:szCs w:val="22"/>
                <w:color w:val="008000"/>
                <w:w w:val="82"/>
                <w:vertAlign w:val="superscript"/>
              </w:rPr>
              <w:t>(3)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3"/>
              </w:rPr>
              <w:t>6,599</w:t>
            </w:r>
            <w:r>
              <w:rPr>
                <w:rFonts w:ascii="Arial" w:cs="Arial" w:eastAsia="Arial" w:hAnsi="Arial"/>
                <w:sz w:val="22"/>
                <w:szCs w:val="22"/>
                <w:color w:val="008000"/>
                <w:w w:val="83"/>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restart"/>
          </w:tcPr>
          <w:p>
            <w:pPr>
              <w:ind w:left="40"/>
              <w:spacing w:after="0" w:line="146" w:lineRule="exact"/>
              <w:rPr>
                <w:sz w:val="20"/>
                <w:szCs w:val="20"/>
                <w:color w:val="auto"/>
              </w:rPr>
            </w:pPr>
            <w:r>
              <w:rPr>
                <w:rFonts w:ascii="Arial" w:cs="Arial" w:eastAsia="Arial" w:hAnsi="Arial"/>
                <w:sz w:val="13"/>
                <w:szCs w:val="13"/>
                <w:color w:val="0000FF"/>
              </w:rPr>
              <w:t>12/18/2018</w:t>
            </w: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Nonqualified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11.79</w:t>
            </w:r>
            <w:r>
              <w:rPr>
                <w:rFonts w:ascii="Arial" w:cs="Arial" w:eastAsia="Arial" w:hAnsi="Arial"/>
                <w:sz w:val="22"/>
                <w:szCs w:val="22"/>
                <w:color w:val="008000"/>
                <w:w w:val="87"/>
                <w:vertAlign w:val="superscript"/>
              </w:rPr>
              <w:t>(3)</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12,500</w:t>
            </w:r>
            <w:r>
              <w:rPr>
                <w:rFonts w:ascii="Arial" w:cs="Arial" w:eastAsia="Arial" w:hAnsi="Arial"/>
                <w:sz w:val="22"/>
                <w:szCs w:val="22"/>
                <w:color w:val="008000"/>
                <w:w w:val="88"/>
                <w:vertAlign w:val="superscript"/>
              </w:rPr>
              <w:t>(3)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6"/>
              </w:rPr>
              <w:t>12,500</w:t>
            </w:r>
            <w:r>
              <w:rPr>
                <w:rFonts w:ascii="Arial" w:cs="Arial" w:eastAsia="Arial" w:hAnsi="Arial"/>
                <w:sz w:val="22"/>
                <w:szCs w:val="22"/>
                <w:color w:val="008000"/>
                <w:w w:val="86"/>
                <w:vertAlign w:val="superscript"/>
              </w:rPr>
              <w:t>(3)</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4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40" w:type="dxa"/>
            <w:vAlign w:val="bottom"/>
            <w:gridSpan w:val="2"/>
          </w:tcPr>
          <w:p>
            <w:pPr>
              <w:ind w:left="40"/>
              <w:spacing w:after="0" w:line="141" w:lineRule="exact"/>
              <w:rPr>
                <w:sz w:val="20"/>
                <w:szCs w:val="20"/>
                <w:color w:val="auto"/>
              </w:rPr>
            </w:pPr>
            <w:r>
              <w:rPr>
                <w:rFonts w:ascii="Arial" w:cs="Arial" w:eastAsia="Arial" w:hAnsi="Arial"/>
                <w:sz w:val="13"/>
                <w:szCs w:val="13"/>
                <w:color w:val="0000FF"/>
              </w:rPr>
              <w:t>07/30/2019</w:t>
            </w:r>
          </w:p>
        </w:tc>
        <w:tc>
          <w:tcPr>
            <w:tcW w:w="60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of shares owned by spouse.</w:t>
      </w:r>
    </w:p>
    <w:p>
      <w:pPr>
        <w:spacing w:after="0" w:line="48" w:lineRule="exact"/>
        <w:rPr>
          <w:rFonts w:ascii="Arial" w:cs="Arial" w:eastAsia="Arial" w:hAnsi="Arial"/>
          <w:sz w:val="13"/>
          <w:szCs w:val="13"/>
          <w:color w:val="008000"/>
        </w:rPr>
      </w:pPr>
    </w:p>
    <w:p>
      <w:pPr>
        <w:ind w:left="40" w:right="200" w:firstLine="6"/>
        <w:spacing w:after="0" w:line="259" w:lineRule="auto"/>
        <w:tabs>
          <w:tab w:leader="none" w:pos="17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of the shares owned by Flynn Meyer PSP&amp;T #1 except to the extent of reporting persons pecuniary interest. Reporting person is the plan administrator for Flynn Meyer PSP&amp;T #1</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Adjusted to reflect the 1-for-3 reverse stock split that became effective on February 11, 2015.</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Options are all vested and exercisable.</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resigned from the board of directors of the issuer effective February 11, 2015. As a result, the reporting person is no longer subject to Section 16 in connection with transactions in the equity securities of the issuer and therefore will no longer report any such transactions on Form 4 or Form 5.</w:t>
      </w:r>
    </w:p>
    <w:p>
      <w:pPr>
        <w:spacing w:after="0" w:line="3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Julia A. Gardner,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02/12/2015</w:t>
            </w:r>
          </w:p>
        </w:tc>
        <w:tc>
          <w:tcPr>
            <w:tcW w:w="0" w:type="dxa"/>
            <w:vAlign w:val="bottom"/>
          </w:tcPr>
          <w:p>
            <w:pPr>
              <w:spacing w:after="0"/>
              <w:rPr>
                <w:sz w:val="1"/>
                <w:szCs w:val="1"/>
                <w:color w:val="auto"/>
              </w:rPr>
            </w:pPr>
          </w:p>
        </w:tc>
      </w:tr>
      <w:tr>
        <w:trPr>
          <w:trHeight w:val="86"/>
        </w:trPr>
        <w:tc>
          <w:tcPr>
            <w:tcW w:w="218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rPr>
              <w:t>in-Fact for Edward L. Flynn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4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31599" TargetMode="External"/><Relationship Id="rId13" Type="http://schemas.openxmlformats.org/officeDocument/2006/relationships/hyperlink" Target="http://www.sec.gov/cgi-bin/browse-edgar?action=getcompany&amp;CIK=0000799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2019-12-23T22:12:27Z</dcterms:created>
  <dcterms:modified xsi:type="dcterms:W3CDTF">2019-12-23T22:12:27Z</dcterms:modified>
</cp:coreProperties>
</file>