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DAWSON GEOPHYSICAL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239360100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Brian Cross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Wilks Brothers, LLC, 17010 IH 20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Cisco, TX, 76437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(817) 850-3600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 Wilks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24,658,746.00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Staci Wilks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Wilks Brothers,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24,658,746.00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79.42 %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Farris Wilks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24,658,746.00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WB Acquisitions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DAWSON GEOPHYSICAL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4579"/>
        <w:spacing w:after="0"/>
        <w:rPr>
          <w:sz w:val="20"/>
          <w:szCs w:val="20"/>
          <w:color w:val="auto"/>
        </w:rPr>
      </w:pPr>
      <w:r>
        <w:rPr>
          <w:rFonts w:ascii="Times New Roman" w:cs="Times New Roman" w:eastAsia="Times New Roman" w:hAnsi="Times New Roman"/>
          <w:sz w:val="22"/>
          <w:szCs w:val="22"/>
          <w:color w:val="auto"/>
        </w:rPr>
        <w:t>508 West Wall, Suite 800, Midland, TEXAS , 79701.</w:t>
      </w:r>
    </w:p>
    <w:p>
      <w:pPr>
        <w:sectPr>
          <w:pgSz w:w="11900" w:h="16838" w:orient="portrait"/>
          <w:cols w:equalWidth="0" w:num="1">
            <w:col w:w="10099"/>
          </w:cols>
          <w:pgMar w:left="360" w:top="110" w:right="1440" w:bottom="0" w:gutter="0" w:footer="0" w:header="0"/>
          <w:type w:val="continuous"/>
        </w:sectPr>
      </w:pPr>
    </w:p>
    <w:bookmarkStart w:id="5" w:name="page6"/>
    <w:bookmarkEnd w:id="5"/>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(this "Amendment") amends and supplements the Schedule 13D originally filed by Dan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Wilks, Staci Wilks, Wilks Brothers, LLC ("Parent") and Farris Wilks with the Securities and Exchange Commission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"SEC") on January 19, 2021, as amended by Amendment No. 1 thereto filed on October 25, 2021, Amendment No. 2 thereto filed on January 14, 2022, Amendment No. 3 thereto filed on January 28, 2022, Amendment No. 4 thereto filed on June 26, 2023, Amendment No. 5 thereto filed on October 30, 2023 and Amendment No. 6 thereto filed on October 29, 2025 (collectively, the "Schedule 13D"), relating to shares of common stock, par value $0.01 per share ("Common Stock"), of Dawson Geophysical Company (the "Issuer"). All capitalized terms contained herein but not otherwise defined shall have the meanings ascribed to such terms in the Schedule 13D. Information given in</w:t>
      </w:r>
    </w:p>
    <w:p>
      <w:pPr>
        <w:spacing w:after="0" w:line="4" w:lineRule="exact"/>
        <w:rPr>
          <w:sz w:val="20"/>
          <w:szCs w:val="20"/>
          <w:color w:val="auto"/>
        </w:rPr>
      </w:pPr>
    </w:p>
    <w:p>
      <w:pPr>
        <w:ind w:right="1820" w:firstLine="952"/>
        <w:spacing w:after="0" w:line="263" w:lineRule="auto"/>
        <w:rPr>
          <w:sz w:val="20"/>
          <w:szCs w:val="20"/>
          <w:color w:val="auto"/>
        </w:rPr>
      </w:pPr>
      <w:r>
        <w:rPr>
          <w:rFonts w:ascii="Times New Roman" w:cs="Times New Roman" w:eastAsia="Times New Roman" w:hAnsi="Times New Roman"/>
          <w:sz w:val="22"/>
          <w:szCs w:val="22"/>
          <w:color w:val="auto"/>
        </w:rPr>
        <w:t>response to each item shall be deemed incorporated by reference in all other items, as applicable. Item 2. Identity and Background</w:t>
      </w:r>
    </w:p>
    <w:p>
      <w:pPr>
        <w:spacing w:after="0" w:line="43" w:lineRule="exact"/>
        <w:rPr>
          <w:sz w:val="20"/>
          <w:szCs w:val="20"/>
          <w:color w:val="auto"/>
        </w:rPr>
      </w:pPr>
    </w:p>
    <w:p>
      <w:pPr>
        <w:ind w:left="920" w:right="7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Schedule 13D is being filed jointly Dan Wilks, Staci Wilks, Wilks Brothers, LLC, Farris Wilks, and WB Acquisitions Inc. (collectively,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60" w:hanging="912"/>
        <w:spacing w:after="0" w:line="200"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Dan Wilks 17018 IH 20 Cisco, TX 76437 Staci Wilks 17018 IH 20 Cisco, TX 76437 Wilks Brothers, LLC 17018 IH 20 Cisco, TX 76437 Farris Wilks 17018 IH 20 Cisco, TX 76437 WB Acquisitions Inc. 17018 IH 20 Cisco, TX 76437 The principal business of Parent is investing in securities. Parent is a manager-managed limited liability company.</w:t>
      </w:r>
    </w:p>
    <w:p>
      <w:pPr>
        <w:spacing w:after="0" w:line="2" w:lineRule="exact"/>
        <w:rPr>
          <w:rFonts w:ascii="Times New Roman" w:cs="Times New Roman" w:eastAsia="Times New Roman" w:hAnsi="Times New Roman"/>
          <w:sz w:val="42"/>
          <w:szCs w:val="42"/>
          <w:color w:val="auto"/>
          <w:vertAlign w:val="subscript"/>
        </w:rPr>
      </w:pPr>
    </w:p>
    <w:p>
      <w:pPr>
        <w:ind w:left="920" w:right="12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principal occupation of Dan Wilks is self-employed investor. The principal occupation of Staci Wilks is self-employed investor. The principal occupation of Farris Wilks is self-employed investor. The principal business of WB Acquisitions Inc. ("WBA") is investing in securities. WBA is a wholly-owned subsidiary of Parent.</w:t>
      </w:r>
    </w:p>
    <w:p>
      <w:pPr>
        <w:spacing w:after="0" w:line="18" w:lineRule="exact"/>
        <w:rPr>
          <w:rFonts w:ascii="Times New Roman" w:cs="Times New Roman" w:eastAsia="Times New Roman" w:hAnsi="Times New Roman"/>
          <w:sz w:val="42"/>
          <w:szCs w:val="42"/>
          <w:color w:val="auto"/>
          <w:vertAlign w:val="subscript"/>
        </w:rPr>
      </w:pPr>
    </w:p>
    <w:p>
      <w:pPr>
        <w:ind w:left="920" w:right="1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(5) years,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(5) years, been a party to any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20" w:right="5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which resulted in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Dan Wilks is a citizen of the United States of America. Staci Wilks is a citizen of the United States of America.</w:t>
      </w:r>
    </w:p>
    <w:p>
      <w:pPr>
        <w:spacing w:after="0" w:line="14" w:lineRule="exact"/>
        <w:rPr>
          <w:rFonts w:ascii="Times New Roman" w:cs="Times New Roman" w:eastAsia="Times New Roman" w:hAnsi="Times New Roman"/>
          <w:sz w:val="42"/>
          <w:szCs w:val="42"/>
          <w:color w:val="auto"/>
          <w:vertAlign w:val="subscript"/>
        </w:rPr>
      </w:pPr>
    </w:p>
    <w:p>
      <w:pPr>
        <w:ind w:left="920" w:right="36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Parent is a limited liability company organized under the laws of the State of Texas. Farris Wilks is a citizen of the United States of America. WBA is a corporation organized under the laws of the State of Delaware.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to include the following: On December 31, 2025, WBA adopted the Plan of Complete Liquidation and Dissolution of WBA (the "Dissolution Plan"), which Dissolution Plan was approved by Parent, as the sole stockholder of WBA (the "Dissolution"). In connection with the Dissolution, WBA and Parent entered into the Distribution Agreement by and between WBA and Parent, pursuant to which WBA agreed to distribute all of the 15,547,010 shares of Common Stock directly held by WBA to Parent in an in-kind distribution for no additional consideration, effective as of December 31, 2025 (the "Distribution"). Immediately following the Distribution, WBA beneficially owned 0 shares of Common Stock and Parent directly owned 24,658,746 shares of Common Stock. Except for the change in Parent's beneficial ownership from indirect to direct with respect to 15,547,010 shares of Common Stock distributed by WBA to Parent, Parent's aggregate beneficial ownership of Common Stock remained unchanged immediately following the Distribution. Further, as previously reported, the Reporting Persons intend to engage in discussions with the Issuer with respect to one or more transactions involving assets owned by the Reporting Persons and/or certain of their affiliates, which may include, among other things, asset contributions or sales, a business combination transaction or other similar transactions. There is no guarantee that the Reporting Persons (or their applicable affiliates) and the Issuer will enter into a definitive agreement regarding any such a transaction. As previously reported, the Reporting Persons intend to review their investment in the Issuer on a continuing basis. Depending on various factors including, without limitation, the Issuer's financial position and investment strategy, the price levels of the shares of Common Stock, conditions in the securities markets and general economic and industry conditions, the Reporting Persons intend to continue to consider, explore and/or develop plans and may in the future take such actions with respect to their investment in the Issuer as they deem appropriate including, without limitation, engaging in communications with the Issuer's management and the Board, engaging in discussions with shareholders of the Issuer and others about the Issuer and the Reporting Persons' investment, making proposals to the Issuer concerning strategic transactions, including business combinations, a sale of the Issuer as a whole or in parts or acquisitions or investments by the Issuer, changes to the capital allocation strategy, capitalization, ownership structure, Board structure (including Board composition), operations of the Issuer, purchasing additional shares of Common Stock, selling some or all of their shares of Common Stock, engaging in short selling of or any hedging or similar transaction with respect to the shares of Common Stock, or take any other actions with respect to their investment in the Issuer permitted by law, including any or all of the actions set forth in paragraphs (a) - (j) of Item 4 of Schedule 13D.</w:t>
      </w:r>
    </w:p>
    <w:p>
      <w:pPr>
        <w:spacing w:after="0" w:line="2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hanging="912"/>
        <w:spacing w:after="0" w:line="247"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Reporting Person's beneficial ownership of Common Stock and percentage ownership as of the date of this Amendment is reflected on that Reporting Person's cover page, which is incorporated herein by reference. The percent of class stated therein for each Reporting Person is based on the 31,047,801 shares of Common Stock of Issuer issued and outstanding as of November 10, 2025, as reported in the Issuer's Quarterly Report filed with the SEC on November 13, 2025. Immediately following the Distribution, Parent beneficially owned 24,658,746 shares of Common Stock, representing 79.42% of the issued and outstanding Common Stock, all of which was directly owned by Parent. If Parent were deemed to be a group with Staci Wilks, such group would beneficially own 24,659,095 shares of Common Stock. Parent is a manager-managed limited liability company, managed by Dan Wilks and Farris</w:t>
      </w:r>
    </w:p>
    <w:p>
      <w:pPr>
        <w:sectPr>
          <w:pgSz w:w="11900" w:h="16838" w:orient="portrait"/>
          <w:cols w:equalWidth="0" w:num="1">
            <w:col w:w="11160"/>
          </w:cols>
          <w:pgMar w:left="360" w:top="111" w:right="379" w:bottom="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580"/>
        <w:spacing w:after="0" w:line="256" w:lineRule="auto"/>
        <w:rPr>
          <w:sz w:val="20"/>
          <w:szCs w:val="20"/>
          <w:color w:val="auto"/>
        </w:rPr>
      </w:pPr>
      <w:r>
        <w:rPr>
          <w:rFonts w:ascii="Times New Roman" w:cs="Times New Roman" w:eastAsia="Times New Roman" w:hAnsi="Times New Roman"/>
          <w:sz w:val="22"/>
          <w:szCs w:val="22"/>
          <w:color w:val="auto"/>
        </w:rPr>
        <w:t>Wilks. Dan Wilks and Farris Wilks are brothers and may be deemed to indirectly beneficially own the shares of Common Stock directly beneficially owned by Parent.</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Items 7 through 10 of the cover pages of this Schedule 13D for each of the Reporting Persons are incorporated herein by reference.</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WBA ceased to be the beneficial owner of more than five percent of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Material to be Filed as Exhibits.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Directors and Officers of Certain Reporting Persons.</w:t>
      </w:r>
    </w:p>
    <w:p>
      <w:pPr>
        <w:spacing w:after="0" w:line="200" w:lineRule="exact"/>
        <w:rPr>
          <w:sz w:val="20"/>
          <w:szCs w:val="20"/>
          <w:color w:val="auto"/>
        </w:rPr>
      </w:pPr>
    </w:p>
    <w:p>
      <w:pPr>
        <w:sectPr>
          <w:pgSz w:w="11900" w:h="16838" w:orient="portrait"/>
          <w:cols w:equalWidth="0" w:num="2">
            <w:col w:w="620" w:space="300"/>
            <w:col w:w="10220"/>
          </w:cols>
          <w:pgMar w:left="360" w:top="111" w:right="399" w:bottom="1440" w:gutter="0" w:footer="0" w:header="0"/>
        </w:sectPr>
      </w:pP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Dan Wilks</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 Wilks</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Dan Wilks/ Self</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01/05/2026</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Staci Wilks</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Staci Wilks</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Staci Wilks/ Self</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01/05/2026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Wilks Brothers, LLC</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 Wilks</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Dan Wilks /Manager</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01/05/2026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Farris Wilks</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Farris Wilks</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Farris Wilks/Self</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01/05/2026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WB Acquisitions Inc.</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 Wilks</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Dan Wilks /Authorized Signatory</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01/05/2026</w:t>
      </w:r>
    </w:p>
    <w:p>
      <w:pPr>
        <w:sectPr>
          <w:pgSz w:w="11900" w:h="16838" w:orient="portrait"/>
          <w:cols w:equalWidth="0" w:num="1">
            <w:col w:w="11140"/>
          </w:cols>
          <w:pgMar w:left="360" w:top="111" w:right="3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21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7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491"/>
        </w:trPr>
        <w:tc>
          <w:tcPr>
            <w:tcW w:w="2100" w:type="dxa"/>
            <w:vAlign w:val="bottom"/>
          </w:tcPr>
          <w:p>
            <w:pPr>
              <w:spacing w:after="0"/>
              <w:rPr>
                <w:sz w:val="24"/>
                <w:szCs w:val="24"/>
                <w:color w:val="auto"/>
              </w:rPr>
            </w:pPr>
          </w:p>
        </w:tc>
        <w:tc>
          <w:tcPr>
            <w:tcW w:w="6900" w:type="dxa"/>
            <w:vAlign w:val="bottom"/>
            <w:gridSpan w:val="5"/>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8"/>
              </w:rPr>
              <w:t>Directors and Officers of Certain Reporting Persons</w:t>
            </w:r>
          </w:p>
        </w:tc>
        <w:tc>
          <w:tcPr>
            <w:tcW w:w="2240" w:type="dxa"/>
            <w:vAlign w:val="bottom"/>
          </w:tcPr>
          <w:p>
            <w:pPr>
              <w:spacing w:after="0"/>
              <w:rPr>
                <w:sz w:val="24"/>
                <w:szCs w:val="24"/>
                <w:color w:val="auto"/>
              </w:rPr>
            </w:pPr>
          </w:p>
        </w:tc>
      </w:tr>
      <w:tr>
        <w:trPr>
          <w:trHeight w:val="416"/>
        </w:trPr>
        <w:tc>
          <w:tcPr>
            <w:tcW w:w="2100" w:type="dxa"/>
            <w:vAlign w:val="bottom"/>
          </w:tcPr>
          <w:p>
            <w:pPr>
              <w:ind w:left="860"/>
              <w:spacing w:after="0"/>
              <w:rPr>
                <w:sz w:val="20"/>
                <w:szCs w:val="20"/>
                <w:color w:val="auto"/>
              </w:rPr>
            </w:pPr>
            <w:r>
              <w:rPr>
                <w:rFonts w:ascii="Times New Roman" w:cs="Times New Roman" w:eastAsia="Times New Roman" w:hAnsi="Times New Roman"/>
                <w:sz w:val="22"/>
                <w:szCs w:val="22"/>
                <w:b w:val="1"/>
                <w:bCs w:val="1"/>
                <w:color w:val="auto"/>
              </w:rPr>
              <w:t>Name</w:t>
            </w:r>
          </w:p>
        </w:tc>
        <w:tc>
          <w:tcPr>
            <w:tcW w:w="218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9"/>
              </w:rPr>
              <w:t>Citizenship</w:t>
            </w:r>
          </w:p>
        </w:tc>
        <w:tc>
          <w:tcPr>
            <w:tcW w:w="2540" w:type="dxa"/>
            <w:vAlign w:val="bottom"/>
            <w:gridSpan w:val="3"/>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Principal Occupation</w:t>
            </w:r>
          </w:p>
        </w:tc>
        <w:tc>
          <w:tcPr>
            <w:tcW w:w="2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of Common</w:t>
            </w:r>
          </w:p>
        </w:tc>
        <w:tc>
          <w:tcPr>
            <w:tcW w:w="2240" w:type="dxa"/>
            <w:vAlign w:val="bottom"/>
          </w:tcPr>
          <w:p>
            <w:pPr>
              <w:jc w:val="right"/>
              <w:ind w:right="127"/>
              <w:spacing w:after="0"/>
              <w:rPr>
                <w:sz w:val="20"/>
                <w:szCs w:val="20"/>
                <w:color w:val="auto"/>
              </w:rPr>
            </w:pPr>
            <w:r>
              <w:rPr>
                <w:rFonts w:ascii="Times New Roman" w:cs="Times New Roman" w:eastAsia="Times New Roman" w:hAnsi="Times New Roman"/>
                <w:sz w:val="22"/>
                <w:szCs w:val="22"/>
                <w:b w:val="1"/>
                <w:bCs w:val="1"/>
                <w:color w:val="auto"/>
              </w:rPr>
              <w:t>Percentage of Class</w:t>
            </w:r>
          </w:p>
        </w:tc>
      </w:tr>
      <w:tr>
        <w:trPr>
          <w:trHeight w:val="243"/>
        </w:trPr>
        <w:tc>
          <w:tcPr>
            <w:tcW w:w="2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Stock of the Issuer</w:t>
            </w:r>
          </w:p>
        </w:tc>
        <w:tc>
          <w:tcPr>
            <w:tcW w:w="2240" w:type="dxa"/>
            <w:vAlign w:val="bottom"/>
          </w:tcPr>
          <w:p>
            <w:pPr>
              <w:jc w:val="right"/>
              <w:ind w:right="127"/>
              <w:spacing w:after="0" w:line="243" w:lineRule="exact"/>
              <w:rPr>
                <w:sz w:val="20"/>
                <w:szCs w:val="20"/>
                <w:color w:val="auto"/>
              </w:rPr>
            </w:pPr>
            <w:r>
              <w:rPr>
                <w:rFonts w:ascii="Times New Roman" w:cs="Times New Roman" w:eastAsia="Times New Roman" w:hAnsi="Times New Roman"/>
                <w:sz w:val="22"/>
                <w:szCs w:val="22"/>
                <w:b w:val="1"/>
                <w:bCs w:val="1"/>
                <w:color w:val="auto"/>
              </w:rPr>
              <w:t>Beneficially Owned</w:t>
            </w:r>
          </w:p>
        </w:tc>
      </w:tr>
      <w:tr>
        <w:trPr>
          <w:trHeight w:val="281"/>
        </w:trPr>
        <w:tc>
          <w:tcPr>
            <w:tcW w:w="2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Beneficially Owned</w:t>
            </w:r>
          </w:p>
        </w:tc>
        <w:tc>
          <w:tcPr>
            <w:tcW w:w="2240" w:type="dxa"/>
            <w:vAlign w:val="bottom"/>
            <w:tcBorders>
              <w:bottom w:val="single" w:sz="8" w:color="auto"/>
            </w:tcBorders>
          </w:tcPr>
          <w:p>
            <w:pPr>
              <w:spacing w:after="0"/>
              <w:rPr>
                <w:sz w:val="24"/>
                <w:szCs w:val="24"/>
                <w:color w:val="auto"/>
              </w:rPr>
            </w:pPr>
          </w:p>
        </w:tc>
      </w:tr>
      <w:tr>
        <w:trPr>
          <w:trHeight w:val="216"/>
        </w:trPr>
        <w:tc>
          <w:tcPr>
            <w:tcW w:w="2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Dan Wilks</w:t>
            </w:r>
          </w:p>
        </w:tc>
        <w:tc>
          <w:tcPr>
            <w:tcW w:w="2180" w:type="dxa"/>
            <w:vAlign w:val="bottom"/>
          </w:tcPr>
          <w:p>
            <w:pPr>
              <w:jc w:val="center"/>
              <w:ind w:left="292"/>
              <w:spacing w:after="0" w:line="216" w:lineRule="exact"/>
              <w:rPr>
                <w:sz w:val="20"/>
                <w:szCs w:val="20"/>
                <w:color w:val="auto"/>
              </w:rPr>
            </w:pPr>
            <w:r>
              <w:rPr>
                <w:rFonts w:ascii="Times New Roman" w:cs="Times New Roman" w:eastAsia="Times New Roman" w:hAnsi="Times New Roman"/>
                <w:sz w:val="22"/>
                <w:szCs w:val="22"/>
                <w:color w:val="auto"/>
                <w:w w:val="96"/>
              </w:rPr>
              <w:t>United States</w:t>
            </w:r>
          </w:p>
        </w:tc>
        <w:tc>
          <w:tcPr>
            <w:tcW w:w="2540" w:type="dxa"/>
            <w:vAlign w:val="bottom"/>
            <w:gridSpan w:val="3"/>
          </w:tcPr>
          <w:p>
            <w:pPr>
              <w:jc w:val="center"/>
              <w:ind w:left="72"/>
              <w:spacing w:after="0" w:line="216" w:lineRule="exact"/>
              <w:rPr>
                <w:sz w:val="20"/>
                <w:szCs w:val="20"/>
                <w:color w:val="auto"/>
              </w:rPr>
            </w:pPr>
            <w:r>
              <w:rPr>
                <w:rFonts w:ascii="Times New Roman" w:cs="Times New Roman" w:eastAsia="Times New Roman" w:hAnsi="Times New Roman"/>
                <w:sz w:val="22"/>
                <w:szCs w:val="22"/>
                <w:color w:val="auto"/>
                <w:w w:val="97"/>
              </w:rPr>
              <w:t>Manager of Wilks</w:t>
            </w:r>
          </w:p>
        </w:tc>
        <w:tc>
          <w:tcPr>
            <w:tcW w:w="21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24,658,746</w:t>
            </w:r>
            <w:r>
              <w:rPr>
                <w:rFonts w:ascii="Times New Roman" w:cs="Times New Roman" w:eastAsia="Times New Roman" w:hAnsi="Times New Roman"/>
                <w:sz w:val="24"/>
                <w:szCs w:val="24"/>
                <w:color w:val="auto"/>
                <w:vertAlign w:val="superscript"/>
              </w:rPr>
              <w:t>(1)</w:t>
            </w:r>
          </w:p>
        </w:tc>
        <w:tc>
          <w:tcPr>
            <w:tcW w:w="2240" w:type="dxa"/>
            <w:vAlign w:val="bottom"/>
          </w:tcPr>
          <w:p>
            <w:pPr>
              <w:jc w:val="right"/>
              <w:ind w:right="587"/>
              <w:spacing w:after="0" w:line="216" w:lineRule="exact"/>
              <w:rPr>
                <w:sz w:val="20"/>
                <w:szCs w:val="20"/>
                <w:color w:val="auto"/>
              </w:rPr>
            </w:pPr>
            <w:r>
              <w:rPr>
                <w:rFonts w:ascii="Times New Roman" w:cs="Times New Roman" w:eastAsia="Times New Roman" w:hAnsi="Times New Roman"/>
                <w:sz w:val="16"/>
                <w:szCs w:val="16"/>
                <w:color w:val="auto"/>
              </w:rPr>
              <w:t>79.42%</w:t>
            </w:r>
            <w:r>
              <w:rPr>
                <w:rFonts w:ascii="Times New Roman" w:cs="Times New Roman" w:eastAsia="Times New Roman" w:hAnsi="Times New Roman"/>
                <w:sz w:val="24"/>
                <w:szCs w:val="24"/>
                <w:color w:val="auto"/>
                <w:vertAlign w:val="superscript"/>
              </w:rPr>
              <w:t>(1)</w:t>
            </w:r>
          </w:p>
        </w:tc>
      </w:tr>
      <w:tr>
        <w:trPr>
          <w:trHeight w:val="277"/>
        </w:trPr>
        <w:tc>
          <w:tcPr>
            <w:tcW w:w="2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22"/>
                <w:szCs w:val="22"/>
                <w:color w:val="auto"/>
                <w:w w:val="98"/>
              </w:rPr>
              <w:t>Brothers, LLC</w:t>
            </w:r>
          </w:p>
        </w:tc>
        <w:tc>
          <w:tcPr>
            <w:tcW w:w="2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16"/>
        </w:trPr>
        <w:tc>
          <w:tcPr>
            <w:tcW w:w="2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Farris Wilks</w:t>
            </w:r>
          </w:p>
        </w:tc>
        <w:tc>
          <w:tcPr>
            <w:tcW w:w="2180" w:type="dxa"/>
            <w:vAlign w:val="bottom"/>
          </w:tcPr>
          <w:p>
            <w:pPr>
              <w:jc w:val="center"/>
              <w:ind w:left="292"/>
              <w:spacing w:after="0" w:line="216" w:lineRule="exact"/>
              <w:rPr>
                <w:sz w:val="20"/>
                <w:szCs w:val="20"/>
                <w:color w:val="auto"/>
              </w:rPr>
            </w:pPr>
            <w:r>
              <w:rPr>
                <w:rFonts w:ascii="Times New Roman" w:cs="Times New Roman" w:eastAsia="Times New Roman" w:hAnsi="Times New Roman"/>
                <w:sz w:val="22"/>
                <w:szCs w:val="22"/>
                <w:color w:val="auto"/>
                <w:w w:val="96"/>
              </w:rPr>
              <w:t>United States</w:t>
            </w:r>
          </w:p>
        </w:tc>
        <w:tc>
          <w:tcPr>
            <w:tcW w:w="2540" w:type="dxa"/>
            <w:vAlign w:val="bottom"/>
            <w:gridSpan w:val="3"/>
          </w:tcPr>
          <w:p>
            <w:pPr>
              <w:jc w:val="center"/>
              <w:ind w:left="72"/>
              <w:spacing w:after="0" w:line="216" w:lineRule="exact"/>
              <w:rPr>
                <w:sz w:val="20"/>
                <w:szCs w:val="20"/>
                <w:color w:val="auto"/>
              </w:rPr>
            </w:pPr>
            <w:r>
              <w:rPr>
                <w:rFonts w:ascii="Times New Roman" w:cs="Times New Roman" w:eastAsia="Times New Roman" w:hAnsi="Times New Roman"/>
                <w:sz w:val="22"/>
                <w:szCs w:val="22"/>
                <w:color w:val="auto"/>
                <w:w w:val="97"/>
              </w:rPr>
              <w:t>Manager of Wilks</w:t>
            </w:r>
          </w:p>
        </w:tc>
        <w:tc>
          <w:tcPr>
            <w:tcW w:w="21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24,658,746</w:t>
            </w:r>
            <w:r>
              <w:rPr>
                <w:rFonts w:ascii="Times New Roman" w:cs="Times New Roman" w:eastAsia="Times New Roman" w:hAnsi="Times New Roman"/>
                <w:sz w:val="24"/>
                <w:szCs w:val="24"/>
                <w:color w:val="auto"/>
                <w:vertAlign w:val="superscript"/>
              </w:rPr>
              <w:t>(1)</w:t>
            </w:r>
          </w:p>
        </w:tc>
        <w:tc>
          <w:tcPr>
            <w:tcW w:w="2240" w:type="dxa"/>
            <w:vAlign w:val="bottom"/>
          </w:tcPr>
          <w:p>
            <w:pPr>
              <w:jc w:val="right"/>
              <w:ind w:right="587"/>
              <w:spacing w:after="0" w:line="216" w:lineRule="exact"/>
              <w:rPr>
                <w:sz w:val="20"/>
                <w:szCs w:val="20"/>
                <w:color w:val="auto"/>
              </w:rPr>
            </w:pPr>
            <w:r>
              <w:rPr>
                <w:rFonts w:ascii="Times New Roman" w:cs="Times New Roman" w:eastAsia="Times New Roman" w:hAnsi="Times New Roman"/>
                <w:sz w:val="16"/>
                <w:szCs w:val="16"/>
                <w:color w:val="auto"/>
              </w:rPr>
              <w:t>79.42%</w:t>
            </w:r>
            <w:r>
              <w:rPr>
                <w:rFonts w:ascii="Times New Roman" w:cs="Times New Roman" w:eastAsia="Times New Roman" w:hAnsi="Times New Roman"/>
                <w:sz w:val="24"/>
                <w:szCs w:val="24"/>
                <w:color w:val="auto"/>
                <w:vertAlign w:val="superscript"/>
              </w:rPr>
              <w:t>(1)</w:t>
            </w:r>
          </w:p>
        </w:tc>
      </w:tr>
      <w:tr>
        <w:trPr>
          <w:trHeight w:val="277"/>
        </w:trPr>
        <w:tc>
          <w:tcPr>
            <w:tcW w:w="2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left="52"/>
              <w:spacing w:after="0"/>
              <w:rPr>
                <w:sz w:val="20"/>
                <w:szCs w:val="20"/>
                <w:color w:val="auto"/>
              </w:rPr>
            </w:pPr>
            <w:r>
              <w:rPr>
                <w:rFonts w:ascii="Times New Roman" w:cs="Times New Roman" w:eastAsia="Times New Roman" w:hAnsi="Times New Roman"/>
                <w:sz w:val="22"/>
                <w:szCs w:val="22"/>
                <w:color w:val="auto"/>
                <w:w w:val="98"/>
              </w:rPr>
              <w:t>Brothers, LLC</w:t>
            </w:r>
          </w:p>
        </w:tc>
        <w:tc>
          <w:tcPr>
            <w:tcW w:w="2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16"/>
        </w:trPr>
        <w:tc>
          <w:tcPr>
            <w:tcW w:w="2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Sergei Krylov</w:t>
            </w:r>
          </w:p>
        </w:tc>
        <w:tc>
          <w:tcPr>
            <w:tcW w:w="2180" w:type="dxa"/>
            <w:vAlign w:val="bottom"/>
          </w:tcPr>
          <w:p>
            <w:pPr>
              <w:jc w:val="center"/>
              <w:ind w:left="292"/>
              <w:spacing w:after="0" w:line="216" w:lineRule="exact"/>
              <w:rPr>
                <w:sz w:val="20"/>
                <w:szCs w:val="20"/>
                <w:color w:val="auto"/>
              </w:rPr>
            </w:pPr>
            <w:r>
              <w:rPr>
                <w:rFonts w:ascii="Times New Roman" w:cs="Times New Roman" w:eastAsia="Times New Roman" w:hAnsi="Times New Roman"/>
                <w:sz w:val="22"/>
                <w:szCs w:val="22"/>
                <w:color w:val="auto"/>
                <w:w w:val="96"/>
              </w:rPr>
              <w:t>United States</w:t>
            </w:r>
          </w:p>
        </w:tc>
        <w:tc>
          <w:tcPr>
            <w:tcW w:w="2540" w:type="dxa"/>
            <w:vAlign w:val="bottom"/>
            <w:gridSpan w:val="3"/>
          </w:tcPr>
          <w:p>
            <w:pPr>
              <w:jc w:val="center"/>
              <w:ind w:left="72"/>
              <w:spacing w:after="0" w:line="216" w:lineRule="exact"/>
              <w:rPr>
                <w:sz w:val="20"/>
                <w:szCs w:val="20"/>
                <w:color w:val="auto"/>
              </w:rPr>
            </w:pPr>
            <w:r>
              <w:rPr>
                <w:rFonts w:ascii="Times New Roman" w:cs="Times New Roman" w:eastAsia="Times New Roman" w:hAnsi="Times New Roman"/>
                <w:sz w:val="22"/>
                <w:szCs w:val="22"/>
                <w:color w:val="auto"/>
                <w:w w:val="97"/>
              </w:rPr>
              <w:t>Chief Financial Officer</w:t>
            </w:r>
          </w:p>
        </w:tc>
        <w:tc>
          <w:tcPr>
            <w:tcW w:w="2180" w:type="dxa"/>
            <w:vAlign w:val="bottom"/>
          </w:tcPr>
          <w:p>
            <w:pPr>
              <w:jc w:val="right"/>
              <w:ind w:right="541"/>
              <w:spacing w:after="0" w:line="216" w:lineRule="exact"/>
              <w:rPr>
                <w:sz w:val="20"/>
                <w:szCs w:val="20"/>
                <w:color w:val="auto"/>
              </w:rPr>
            </w:pPr>
            <w:r>
              <w:rPr>
                <w:rFonts w:ascii="Times New Roman" w:cs="Times New Roman" w:eastAsia="Times New Roman" w:hAnsi="Times New Roman"/>
                <w:sz w:val="22"/>
                <w:szCs w:val="22"/>
                <w:color w:val="auto"/>
              </w:rPr>
              <w:t>28,415</w:t>
            </w:r>
          </w:p>
        </w:tc>
        <w:tc>
          <w:tcPr>
            <w:tcW w:w="2240" w:type="dxa"/>
            <w:vAlign w:val="bottom"/>
          </w:tcPr>
          <w:p>
            <w:pPr>
              <w:jc w:val="right"/>
              <w:ind w:right="927"/>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2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left="72"/>
              <w:spacing w:after="0"/>
              <w:rPr>
                <w:sz w:val="20"/>
                <w:szCs w:val="20"/>
                <w:color w:val="auto"/>
              </w:rPr>
            </w:pPr>
            <w:r>
              <w:rPr>
                <w:rFonts w:ascii="Times New Roman" w:cs="Times New Roman" w:eastAsia="Times New Roman" w:hAnsi="Times New Roman"/>
                <w:sz w:val="22"/>
                <w:szCs w:val="22"/>
                <w:color w:val="auto"/>
                <w:w w:val="97"/>
              </w:rPr>
              <w:t>of Wilks Brothers, LLC</w:t>
            </w:r>
          </w:p>
        </w:tc>
        <w:tc>
          <w:tcPr>
            <w:tcW w:w="2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18" w:lineRule="exact"/>
        <w:rPr>
          <w:sz w:val="20"/>
          <w:szCs w:val="20"/>
          <w:color w:val="auto"/>
        </w:rPr>
      </w:pPr>
    </w:p>
    <w:p>
      <w:pPr>
        <w:ind w:left="660" w:right="320" w:hanging="328"/>
        <w:spacing w:after="0" w:line="230" w:lineRule="auto"/>
        <w:tabs>
          <w:tab w:leader="none" w:pos="71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nature of ownership of shares of common stock, par value $0.01 per share ("Common Stock") of Dawson Geophysical Company (the "Issuer") shown as beneficially owned by Dan Wilks and Farris Wilks and their voting and dispositive power over such shares is described in Amendment No. 7 to Schedule 13D and is incorporated herein by reference.</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than 1%.</w:t>
      </w:r>
    </w:p>
    <w:sectPr>
      <w:pgSz w:w="11900" w:h="16838" w:orient="portrait"/>
      <w:cols w:equalWidth="0" w:num="1">
        <w:col w:w="11240"/>
      </w:cols>
      <w:pgMar w:left="320" w:top="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2026-01-05T19:24:23Z</dcterms:created>
  <dcterms:modified xsi:type="dcterms:W3CDTF">2026-01-05T19:24:23Z</dcterms:modified>
</cp:coreProperties>
</file>