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12,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DAWSON GEOPHYSICAL COMPANY</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6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TEXAS</w:t>
            </w:r>
          </w:p>
        </w:tc>
        <w:tc>
          <w:tcPr>
            <w:tcW w:w="282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001-32472</w:t>
            </w:r>
          </w:p>
        </w:tc>
        <w:tc>
          <w:tcPr>
            <w:tcW w:w="26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74-2095844</w:t>
            </w:r>
          </w:p>
        </w:tc>
      </w:tr>
      <w:tr>
        <w:trPr>
          <w:trHeight w:val="216"/>
        </w:trPr>
        <w:tc>
          <w:tcPr>
            <w:tcW w:w="21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2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6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21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2820" w:type="dxa"/>
            <w:vAlign w:val="bottom"/>
          </w:tcPr>
          <w:p>
            <w:pPr>
              <w:spacing w:after="0"/>
              <w:rPr>
                <w:sz w:val="20"/>
                <w:szCs w:val="20"/>
                <w:color w:val="auto"/>
              </w:rPr>
            </w:pPr>
          </w:p>
        </w:tc>
        <w:tc>
          <w:tcPr>
            <w:tcW w:w="26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number)</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508 West Wall, Suite 800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Midland, Texas 79701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(432) 684-3000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80" w:lineRule="exact"/>
        <w:rPr>
          <w:sz w:val="24"/>
          <w:szCs w:val="24"/>
          <w:color w:val="auto"/>
        </w:rPr>
      </w:pPr>
    </w:p>
    <w:p>
      <w:pPr>
        <w:ind w:left="780" w:hanging="247"/>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1" w:lineRule="exact"/>
        <w:rPr>
          <w:rFonts w:ascii="MS PGothic" w:cs="MS PGothic" w:eastAsia="MS PGothic" w:hAnsi="MS PGothic"/>
          <w:sz w:val="18"/>
          <w:szCs w:val="18"/>
          <w:color w:val="auto"/>
        </w:rPr>
      </w:pPr>
    </w:p>
    <w:p>
      <w:pPr>
        <w:ind w:left="760" w:hanging="227"/>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760" w:hanging="227"/>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760" w:hanging="227"/>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ectPr>
          <w:pgSz w:w="11900" w:h="16838" w:orient="portrait"/>
          <w:cols w:equalWidth="0" w:num="1">
            <w:col w:w="9019"/>
          </w:cols>
          <w:pgMar w:left="1440" w:top="887" w:right="1440" w:bottom="1440" w:gutter="0" w:footer="0" w:header="0"/>
        </w:sectPr>
      </w:pPr>
    </w:p>
    <w:p>
      <w:pPr>
        <w:spacing w:after="0" w:line="239"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Name of each exchange on which</w:t>
      </w:r>
    </w:p>
    <w:p>
      <w:pPr>
        <w:spacing w:after="0" w:line="2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registered</w:t>
      </w:r>
    </w:p>
    <w:p>
      <w:pPr>
        <w:spacing w:after="0" w:line="9" w:lineRule="exact"/>
        <w:rPr>
          <w:sz w:val="24"/>
          <w:szCs w:val="24"/>
          <w:color w:val="auto"/>
        </w:rPr>
      </w:pPr>
    </w:p>
    <w:p>
      <w:pPr>
        <w:sectPr>
          <w:pgSz w:w="11900" w:h="16838" w:orient="portrait"/>
          <w:cols w:equalWidth="0" w:num="3">
            <w:col w:w="3100" w:space="720"/>
            <w:col w:w="1660" w:space="720"/>
            <w:col w:w="2819"/>
          </w:cols>
          <w:pgMar w:left="1440" w:top="887" w:right="1440"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DWSN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w:t>
      </w:r>
    </w:p>
    <w:p>
      <w:pPr>
        <w:spacing w:after="0" w:line="211" w:lineRule="exact"/>
        <w:rPr>
          <w:sz w:val="24"/>
          <w:szCs w:val="24"/>
          <w:color w:val="auto"/>
        </w:rPr>
      </w:pPr>
    </w:p>
    <w:p>
      <w:pPr>
        <w:sectPr>
          <w:pgSz w:w="11900" w:h="16838" w:orient="portrait"/>
          <w:cols w:equalWidth="0" w:num="3">
            <w:col w:w="3520" w:space="720"/>
            <w:col w:w="1360" w:space="720"/>
            <w:col w:w="2699"/>
          </w:cols>
          <w:pgMar w:left="1440" w:top="887" w:right="1440" w:bottom="1440" w:gutter="0" w:footer="0" w:header="0"/>
          <w:type w:val="continuous"/>
        </w:sectPr>
      </w:pPr>
    </w:p>
    <w:p>
      <w:pPr>
        <w:spacing w:after="0" w:line="20" w:lineRule="exact"/>
        <w:rPr>
          <w:sz w:val="24"/>
          <w:szCs w:val="24"/>
          <w:color w:val="auto"/>
        </w:rPr>
      </w:pPr>
    </w:p>
    <w:p>
      <w:pPr>
        <w:ind w:left="200" w:right="27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left="200" w:right="27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608330</wp:posOffset>
            </wp:positionV>
            <wp:extent cx="545211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type w:val="continuous"/>
        </w:sectPr>
      </w:pPr>
    </w:p>
    <w:bookmarkStart w:id="1" w:name="page2"/>
    <w:bookmarkEnd w:id="1"/>
    <w:p>
      <w:pPr>
        <w:ind w:left="2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0" w:lineRule="exact"/>
        <w:rPr>
          <w:sz w:val="20"/>
          <w:szCs w:val="20"/>
          <w:color w:val="auto"/>
        </w:rPr>
      </w:pPr>
    </w:p>
    <w:p>
      <w:pPr>
        <w:spacing w:after="0" w:line="259" w:lineRule="exact"/>
        <w:rPr>
          <w:sz w:val="20"/>
          <w:szCs w:val="20"/>
          <w:color w:val="auto"/>
        </w:rPr>
      </w:pPr>
    </w:p>
    <w:p>
      <w:pPr>
        <w:jc w:val="both"/>
        <w:ind w:left="200" w:right="579" w:firstLine="583"/>
        <w:spacing w:after="0" w:line="305" w:lineRule="auto"/>
        <w:rPr>
          <w:sz w:val="20"/>
          <w:szCs w:val="20"/>
          <w:color w:val="auto"/>
        </w:rPr>
      </w:pPr>
      <w:r>
        <w:rPr>
          <w:rFonts w:ascii="Times New Roman" w:cs="Times New Roman" w:eastAsia="Times New Roman" w:hAnsi="Times New Roman"/>
          <w:sz w:val="18"/>
          <w:szCs w:val="18"/>
          <w:color w:val="auto"/>
        </w:rPr>
        <w:t>On November 12, 2025, Dawson Geophysical Company (the “Company”) issued a press release reporting its preliminary and unaudited financial results for its third quarter ended September 30, 2025. A copy of the press release is furnished herewith as Exhibit 99.1.</w:t>
      </w:r>
    </w:p>
    <w:p>
      <w:pPr>
        <w:spacing w:after="0" w:line="192" w:lineRule="exact"/>
        <w:rPr>
          <w:sz w:val="20"/>
          <w:szCs w:val="20"/>
          <w:color w:val="auto"/>
        </w:rPr>
      </w:pPr>
    </w:p>
    <w:p>
      <w:pPr>
        <w:ind w:left="200" w:right="519" w:firstLine="583"/>
        <w:spacing w:after="0" w:line="29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Incorporation by Reference. </w:t>
      </w:r>
      <w:r>
        <w:rPr>
          <w:rFonts w:ascii="Times New Roman" w:cs="Times New Roman" w:eastAsia="Times New Roman" w:hAnsi="Times New Roman"/>
          <w:sz w:val="18"/>
          <w:szCs w:val="18"/>
          <w:color w:val="auto"/>
        </w:rPr>
        <w:t>The information furnished in this Item 2.02,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press release attached hereto as Exhibit 99.1,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217" w:lineRule="exact"/>
        <w:rPr>
          <w:sz w:val="20"/>
          <w:szCs w:val="20"/>
          <w:color w:val="auto"/>
        </w:rPr>
      </w:pPr>
    </w:p>
    <w:p>
      <w:pPr>
        <w:ind w:left="200" w:right="559" w:firstLine="583"/>
        <w:spacing w:after="0" w:line="29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Cautionary Note Regarding Forward-Looking Statements. </w:t>
      </w:r>
      <w:r>
        <w:rPr>
          <w:rFonts w:ascii="Times New Roman" w:cs="Times New Roman" w:eastAsia="Times New Roman" w:hAnsi="Times New Roman"/>
          <w:sz w:val="18"/>
          <w:szCs w:val="18"/>
          <w:color w:val="auto"/>
        </w:rPr>
        <w:t>Except for historical information contained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press release attached as an exhibit hereto, the press release contains forward-looking statements that involve certain risks and uncertainties that could cause actual results to differ materially from those expressed or implied by these statements. Please refer to the cautionary note in the press release regarding these forward-looking statements.</w:t>
      </w:r>
    </w:p>
    <w:p>
      <w:pPr>
        <w:spacing w:after="0" w:line="217" w:lineRule="exact"/>
        <w:rPr>
          <w:sz w:val="20"/>
          <w:szCs w:val="20"/>
          <w:color w:val="auto"/>
        </w:rPr>
      </w:pPr>
    </w:p>
    <w:p>
      <w:pPr>
        <w:ind w:left="2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95" w:lineRule="exact"/>
        <w:rPr>
          <w:sz w:val="20"/>
          <w:szCs w:val="20"/>
          <w:color w:val="auto"/>
        </w:rPr>
      </w:pPr>
    </w:p>
    <w:p>
      <w:pPr>
        <w:ind w:left="1500" w:hanging="663"/>
        <w:spacing w:after="0"/>
        <w:tabs>
          <w:tab w:leader="none" w:pos="1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Exhibits.</w:t>
      </w:r>
    </w:p>
    <w:p>
      <w:pPr>
        <w:spacing w:after="0" w:line="308" w:lineRule="exact"/>
        <w:rPr>
          <w:sz w:val="20"/>
          <w:szCs w:val="20"/>
          <w:color w:val="auto"/>
        </w:rPr>
      </w:pPr>
    </w:p>
    <w:tbl>
      <w:tblPr>
        <w:tblLayout w:type="fixed"/>
        <w:tblInd w:w="230" w:type="dxa"/>
        <w:tblCellMar>
          <w:top w:w="0" w:type="dxa"/>
          <w:left w:w="0" w:type="dxa"/>
          <w:bottom w:w="0" w:type="dxa"/>
          <w:right w:w="0" w:type="dxa"/>
        </w:tblCellMar>
      </w:tblPr>
      <w:tr>
        <w:trPr>
          <w:trHeight w:val="189"/>
        </w:trPr>
        <w:tc>
          <w:tcPr>
            <w:tcW w:w="100" w:type="dxa"/>
            <w:vAlign w:val="bottom"/>
            <w:tcBorders>
              <w:top w:val="single" w:sz="8" w:color="auto"/>
              <w:left w:val="single" w:sz="8" w:color="auto"/>
            </w:tcBorders>
          </w:tcPr>
          <w:p>
            <w:pPr>
              <w:spacing w:after="0"/>
              <w:rPr>
                <w:sz w:val="16"/>
                <w:szCs w:val="16"/>
                <w:color w:val="auto"/>
              </w:rPr>
            </w:pPr>
          </w:p>
        </w:tc>
        <w:tc>
          <w:tcPr>
            <w:tcW w:w="1660" w:type="dxa"/>
            <w:vAlign w:val="bottom"/>
            <w:tcBorders>
              <w:top w:val="single" w:sz="8" w:color="auto"/>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NUMBER</w:t>
            </w:r>
          </w:p>
        </w:tc>
        <w:tc>
          <w:tcPr>
            <w:tcW w:w="80" w:type="dxa"/>
            <w:vAlign w:val="bottom"/>
            <w:tcBorders>
              <w:top w:val="single" w:sz="8" w:color="auto"/>
            </w:tcBorders>
          </w:tcPr>
          <w:p>
            <w:pPr>
              <w:spacing w:after="0"/>
              <w:rPr>
                <w:sz w:val="16"/>
                <w:szCs w:val="16"/>
                <w:color w:val="auto"/>
              </w:rPr>
            </w:pPr>
          </w:p>
        </w:tc>
        <w:tc>
          <w:tcPr>
            <w:tcW w:w="6760" w:type="dxa"/>
            <w:vAlign w:val="bottom"/>
            <w:tcBorders>
              <w:top w:val="single" w:sz="8" w:color="auto"/>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620" w:type="dxa"/>
            <w:vAlign w:val="bottom"/>
            <w:tcBorders>
              <w:left w:val="single" w:sz="8" w:color="auto"/>
            </w:tcBorders>
            <w:gridSpan w:val="3"/>
          </w:tcPr>
          <w:p>
            <w:pPr>
              <w:ind w:left="10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760" w:type="dxa"/>
            <w:vAlign w:val="bottom"/>
            <w:tcBorders>
              <w:right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12, 2025</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top w:val="single" w:sz="8" w:color="0000EE"/>
              <w:bottom w:val="single" w:sz="8" w:color="auto"/>
            </w:tcBorders>
          </w:tcPr>
          <w:p>
            <w:pPr>
              <w:spacing w:after="0" w:line="20" w:lineRule="exact"/>
              <w:rPr>
                <w:sz w:val="1"/>
                <w:szCs w:val="1"/>
                <w:color w:val="auto"/>
              </w:rPr>
            </w:pPr>
          </w:p>
        </w:tc>
        <w:tc>
          <w:tcPr>
            <w:tcW w:w="39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40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7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18"/>
        </w:trPr>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76"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left="200" w:right="699" w:firstLine="583"/>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5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DAWSON GEOPHYSICAL COMPANY</w:t>
            </w:r>
          </w:p>
        </w:tc>
      </w:tr>
      <w:tr>
        <w:trPr>
          <w:trHeight w:val="64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55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By:/s/ Ian Shaw</w:t>
            </w: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Ian Shaw</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-125095</wp:posOffset>
            </wp:positionV>
            <wp:extent cx="1379855"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71183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Dawson Geophysical Company</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508 W. Wall, Suite 800</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Midland, TX 79701</w:t>
      </w:r>
    </w:p>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Tony Clark, CEO and President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Ian Shaw, Chief Financial Officer</w:t>
      </w:r>
    </w:p>
    <w:p>
      <w:pPr>
        <w:spacing w:after="0" w:line="36" w:lineRule="exact"/>
        <w:rPr>
          <w:sz w:val="20"/>
          <w:szCs w:val="20"/>
          <w:color w:val="auto"/>
        </w:rPr>
      </w:pPr>
    </w:p>
    <w:p>
      <w:pPr>
        <w:ind w:left="60" w:right="7459" w:hanging="4"/>
        <w:spacing w:after="0" w:line="346"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332-9766 www.dawson3d.com</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DAWSON GEOPHYSICAL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2025 RESULTS</w:t>
      </w:r>
    </w:p>
    <w:p>
      <w:pPr>
        <w:spacing w:after="0" w:line="207" w:lineRule="exact"/>
        <w:rPr>
          <w:sz w:val="20"/>
          <w:szCs w:val="20"/>
          <w:color w:val="auto"/>
        </w:rPr>
      </w:pPr>
    </w:p>
    <w:p>
      <w:pPr>
        <w:ind w:left="60" w:right="859"/>
        <w:spacing w:after="0" w:line="266" w:lineRule="auto"/>
        <w:rPr>
          <w:sz w:val="20"/>
          <w:szCs w:val="20"/>
          <w:color w:val="auto"/>
        </w:rPr>
      </w:pPr>
      <w:r>
        <w:rPr>
          <w:rFonts w:ascii="Times New Roman" w:cs="Times New Roman" w:eastAsia="Times New Roman" w:hAnsi="Times New Roman"/>
          <w:sz w:val="18"/>
          <w:szCs w:val="18"/>
          <w:color w:val="auto"/>
        </w:rPr>
        <w:t>MIDLAND, Texas, November 12, 2025/PR Newswire/Dawson Geophysical Company (NASDAQ: DWSN) (the “Company”) today reported unaudited financial results for its third quarter ended September 30,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Comment</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Tony Clark, Dawson’s President and CEO, commented, “We received our first delivery of our new single node channels in mid-August and immediately deployed the new equipment on a small channel crew with promising results. Due to the high demand from our customers for this equipment, we have accelerated our delivery timeline and received two additional equipment deliveries, at the end of September and October. We expect that the increase in our channel count will allow us to continue to improve our top-line results as we continue to utilize our legacy equipment and deploy our new equipment. Currently we have over 180,000 channels of legacy and new equipment available to service the industry, and we are increasing our efforts on passive seismic monitoring with positive activity.</w:t>
      </w:r>
    </w:p>
    <w:p>
      <w:pPr>
        <w:spacing w:after="0" w:line="187" w:lineRule="exact"/>
        <w:rPr>
          <w:sz w:val="20"/>
          <w:szCs w:val="20"/>
          <w:color w:val="auto"/>
        </w:rPr>
      </w:pPr>
    </w:p>
    <w:p>
      <w:pPr>
        <w:jc w:val="both"/>
        <w:ind w:left="60" w:right="139"/>
        <w:spacing w:after="0" w:line="312" w:lineRule="auto"/>
        <w:rPr>
          <w:sz w:val="20"/>
          <w:szCs w:val="20"/>
          <w:color w:val="auto"/>
        </w:rPr>
      </w:pPr>
      <w:r>
        <w:rPr>
          <w:rFonts w:ascii="Times New Roman" w:cs="Times New Roman" w:eastAsia="Times New Roman" w:hAnsi="Times New Roman"/>
          <w:sz w:val="17"/>
          <w:szCs w:val="17"/>
          <w:color w:val="auto"/>
        </w:rPr>
        <w:t>Our Canadian segment acquired several passive monitoring surveys in the third quarter while preparing for a robust winter season. We are incorporating the new single node channels in this market, with positive feedback from our customers.</w:t>
      </w:r>
    </w:p>
    <w:p>
      <w:pPr>
        <w:spacing w:after="0" w:line="12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Overall, we saw the potential that this new equipment can have in terms of our competitive position in the market, and our financial results. We expect to capitalize on that potential with our first large channel crew deployment of the single node channels in the fourth quarter.”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Third Quarter and Year-to-Date Results</w:t>
      </w:r>
    </w:p>
    <w:p>
      <w:pPr>
        <w:spacing w:after="0" w:line="229" w:lineRule="exact"/>
        <w:rPr>
          <w:sz w:val="20"/>
          <w:szCs w:val="20"/>
          <w:color w:val="auto"/>
        </w:rPr>
      </w:pPr>
    </w:p>
    <w:p>
      <w:pPr>
        <w:ind w:left="60" w:right="119"/>
        <w:spacing w:after="0" w:line="244" w:lineRule="auto"/>
        <w:rPr>
          <w:sz w:val="20"/>
          <w:szCs w:val="20"/>
          <w:color w:val="auto"/>
        </w:rPr>
      </w:pPr>
      <w:r>
        <w:rPr>
          <w:rFonts w:ascii="Times New Roman" w:cs="Times New Roman" w:eastAsia="Times New Roman" w:hAnsi="Times New Roman"/>
          <w:sz w:val="17"/>
          <w:szCs w:val="17"/>
          <w:color w:val="auto"/>
        </w:rPr>
        <w:t>For the third quarter ended September 30, 2025, the Company reported fee revenues of $14.9 million, an increase of 220% compared to $4.7 million for the comparable quarter ended September 30, 2024. Total revenue included reimbursable revenue of $7.8 million and $9.8 million for the quarters ended September 30, 2025, and September 30, 2024, respectively. Gross margin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for the quarter ended September 30, 2025, was 15% compared to negative 37% for the comparable quarter ended September 30, 2024, due to the increase in fee revenue and improved efficiencies in our operations.</w:t>
      </w:r>
    </w:p>
    <w:p>
      <w:pPr>
        <w:spacing w:after="0" w:line="195" w:lineRule="exact"/>
        <w:rPr>
          <w:sz w:val="20"/>
          <w:szCs w:val="20"/>
          <w:color w:val="auto"/>
        </w:rPr>
      </w:pPr>
    </w:p>
    <w:p>
      <w:pPr>
        <w:jc w:val="both"/>
        <w:ind w:left="60" w:right="459"/>
        <w:spacing w:after="0" w:line="280" w:lineRule="auto"/>
        <w:rPr>
          <w:sz w:val="20"/>
          <w:szCs w:val="20"/>
          <w:color w:val="auto"/>
        </w:rPr>
      </w:pPr>
      <w:r>
        <w:rPr>
          <w:rFonts w:ascii="Times New Roman" w:cs="Times New Roman" w:eastAsia="Times New Roman" w:hAnsi="Times New Roman"/>
          <w:sz w:val="17"/>
          <w:szCs w:val="17"/>
          <w:color w:val="auto"/>
        </w:rPr>
        <w:t>We incurred a net loss of $1.2 million or $0.04 per common share compared to a net loss of $5.6 million or $0.18 per common share for the quarter ended September 30, 2024. During the quarter ended September 30, 2025, we generated EBITDA of $0.2 million, compared to negative EBITDA of $4.3 million in the quarter ended September 30, 2024.</w:t>
      </w:r>
    </w:p>
    <w:p>
      <w:pPr>
        <w:spacing w:after="0" w:line="16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Year-to-date, we incurred a net loss of $2.5 million or $0.08 per common share in 2025 compared to a net loss of $3.3 million or $0.11 per common share in 2024. We generated EBITDA of $1.4 million in the nine months ended September 30, 2025, compared to EBITDA of $0.9 million in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Defined as fee revenues less fee operating expenses, divided by fee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438785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t>Operations Update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United States, we continued to operate one large channel crew throughout the third quarter utilizing our legacy channels. That crew is scheduled to complete that job in mid-November and immediately start another large channel job, utilizing the new single node channels, scheduled to end in April. Our seasonal operations in Canada resumed in October, and we expect them to ramp up into another successful season. We have multiple small channel crew jobs contracted in the fourth quarter in the United States and Canada and expect our revenue to continue to increase quarter-over-quarter.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Budget and Liquidity</w:t>
      </w:r>
    </w:p>
    <w:p>
      <w:pPr>
        <w:spacing w:after="0" w:line="27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Year-to-date, we have generated $11.9 million in cash flows from our operations, and increased our cash balance to $5.1 million at September 30, 2025, compared to $1.4 million at December 31, 2024. In October 2025, we entered into a revolving credit facility with a maximum lender commitment amount of $5 million. We believe that our cash on hand, operating cash flows and cash available under our revolving credit facility are sufficient to fund our cash flow requirements as well as our debt obligations.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Dawson</w:t>
      </w:r>
    </w:p>
    <w:p>
      <w:pPr>
        <w:spacing w:after="0" w:line="229"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Dawson Geophysical Company is a leading provider of North American onshore seismic data acquisition services with operations throughout the continental United States and Canada. Dawson acquires and processes 2-D, 3-D and multi-component seismic data solely for its clients, ranging from major oil and gas companies to independent oil and gas operators, as well as providers of multi-client data libraries. Carbon Capture Utilization and Storage (“CCUS”) seismic monitoring continues to grow and be an intricate part of our business. Dawson has acquired several CCUS base surveys and plan to acquire more in the future.</w:t>
      </w: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the Company’s preliminary and unaudited results as determined by generally accepted accounting principles (“GAAP”), the Company has included in this press release information about the Company’s EBITDA, a non-GAAP financial measure as defined by Regulation G promulgated by the U.S. Securities and Exchange Commission. The Company defines EBITDA as net income (loss) plus interest expense, interest income, income taxes, depreciation and amortization expense. The Company uses EBITDA, further adjusted for other unusual items (Adjusted EBITDA), when applicable, as a supplemental financial measure to assess:</w:t>
      </w:r>
    </w:p>
    <w:p>
      <w:pPr>
        <w:spacing w:after="0" w:line="203" w:lineRule="exact"/>
        <w:rPr>
          <w:sz w:val="20"/>
          <w:szCs w:val="20"/>
          <w:color w:val="auto"/>
        </w:rPr>
      </w:pPr>
    </w:p>
    <w:p>
      <w:pPr>
        <w:ind w:left="1000" w:right="659" w:hanging="342"/>
        <w:spacing w:after="0" w:line="313"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its assets without regard to financing methods, capital structures, taxes or historical cost basis;</w:t>
      </w:r>
    </w:p>
    <w:p>
      <w:pPr>
        <w:spacing w:after="0" w:line="175" w:lineRule="exact"/>
        <w:rPr>
          <w:rFonts w:ascii="Times New Roman" w:cs="Times New Roman" w:eastAsia="Times New Roman" w:hAnsi="Times New Roman"/>
          <w:sz w:val="18"/>
          <w:szCs w:val="18"/>
          <w:color w:val="auto"/>
        </w:rPr>
      </w:pPr>
    </w:p>
    <w:p>
      <w:pPr>
        <w:ind w:left="1000" w:right="79" w:hanging="342"/>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over time in relation to other companies that own similar assets and that we believe calculate EBITDA in a similar manner; and</w:t>
      </w:r>
    </w:p>
    <w:p>
      <w:pPr>
        <w:spacing w:after="0" w:line="188" w:lineRule="exact"/>
        <w:rPr>
          <w:rFonts w:ascii="Times New Roman" w:cs="Times New Roman" w:eastAsia="Times New Roman" w:hAnsi="Times New Roman"/>
          <w:sz w:val="18"/>
          <w:szCs w:val="18"/>
          <w:color w:val="auto"/>
        </w:rPr>
      </w:pPr>
    </w:p>
    <w:p>
      <w:pPr>
        <w:ind w:left="1000" w:hanging="3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assets to generate cash sufficient for the Company to pay potential interest costs.</w:t>
      </w:r>
    </w:p>
    <w:p>
      <w:pPr>
        <w:spacing w:after="0" w:line="239"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The Company also understands that such data are used by investors to assess our performance. However, the term EBITDA is not defined under generally accepted accounting principles (“GAAP”), and EBITDA is not a measure of operating income or operating performance presented in accordance with GAAP. When assessing the Company’s operating performance, investors and others should not consider this data in isolation or as a substitute for net income (loss), cash flow from operating activities or other cash flow data calculated in accordance with GAAP. In addition, the Company’s EBITDA may not be comparable to EBITDA or similarly titled measures utilized by other companies since other companies may not calculate EBITDA in the same manner as the Company. Further, the results presented by EBITDA cannot be achieved without incurring the costs that the measure excludes: interest, taxes, depreciation and amortization, and other unusual items. For the three and nine months ended September 30, 2025, and 2024, there were no unusual items and therefore Adjusted EBITDA and EBITDA were equal, and only EBITDA is presented in the tables following the text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59"/>
        <w:spacing w:after="0" w:line="249" w:lineRule="auto"/>
        <w:rPr>
          <w:sz w:val="20"/>
          <w:szCs w:val="20"/>
          <w:color w:val="auto"/>
        </w:rPr>
      </w:pPr>
      <w:r>
        <w:rPr>
          <w:rFonts w:ascii="Times New Roman" w:cs="Times New Roman" w:eastAsia="Times New Roman" w:hAnsi="Times New Roman"/>
          <w:sz w:val="18"/>
          <w:szCs w:val="18"/>
          <w:color w:val="auto"/>
        </w:rPr>
        <w:t>In accordance with the Safe Harbor provisions of the Private Securities Litigation Reform Act of 1995, the Company cautions that statements in this press release which are forward-looking and which provide other than historical information involve risks and uncertainties that may materially affect the Company’s actual results of operations. Forward-looking statements generally relate to future events or the Company’s future financial or operating performance and may be identified by words such as “may,” “should,” “expect,” “intend,” “will,” “estimate,” “anticipate,” “believe,” “predict,” or similar words. Such statements include, but are not limited to, statements about the Company’s future financial or operating performance, statements of the Company’s position in the marketplace; statements about the Company’s growth potential and strategies for growth; statements about the Company’s ability to realize the benefits expected from the new single node channels; and any indication that the Company may be able to sustain or increase its sales, earnings or earnings per share, or its sales, earnings or earnings per share growth rates. Such forward-looking statements are based on the beliefs of management as well as assumptions made by and information currently available to management. Actual results could differ materially from those contemplated by the forward-looking statements as a result of certain factors. These risks include, but are not limited to, the Company’s status as a controlled public company, which exempts the Company from certain corporate governance requirements; the limited market for the Company’s shares, which could result in the delisting of the Company’s shares from Nasdaq and the Company no longer being required to make filings with the U.S. Securities and Exchange Commission (the “SEC”); the impact of general economic, industry, market or political conditions; dependence upon energy industry spending; changes in exploration and production spending by our customers and changes in the level of oil and natural gas exploration and development; the results of operations and financial condition of our customers, particularly during extended periods of low prices for crude oil and natural gas; the volatility of oil and natural gas prices; changes in economic conditions; surplus in the supply of oil and the ability of the Organization of the Petroleum Exporting Countries and its allies, collectively known as OPEC+ to agree on and comply with supply limitations; the duration and magnitude of the unprecedented disruption in the oil and gas industry currently resulting from the impact of the foregoing factors, which is negatively impacting our business; the potential for contract delays; reductions or cancellations of service contracts; limited number of customers; credit risk related to our customers; reduced utilization; high fixed costs of operations and high capital requirements; industry competition; external factors affecting the Company’s crews such as weather interruptions and inability to obtain land access rights of way; whether the Company enters into turnkey or day rate contracts; crew productivity; risks that the Company’s cash reserves, liquidity or capital resources may be insufficient; risks related to our indebtedness and compliance with covenants contained in our revolving credit facility; the Company’s ability to execute its business strategies and plans for growth; the failure to operationalize the new single node channels in a timely manner or at all; disruptions in the global economy, including export controls and financial and economic sanctions imposed on certain industry sectors and parties as a result of the developments in Ukraine and related activities, and whether or not a future transaction or other action occurs that causes the Company to be delisted from Nasdaq and no longer be required to make filings with the SEC. A discussion of these and other factors, including risks and uncertainties, is set forth in the Company’s Annual Report on Form 10-K that was filed with the SEC on April 2, 2025. The Company disclaims any intention or obligation to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631825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DAWSON GEOPHYSICAL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and amounts in thousands, except share and per share data)</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740" w:type="dxa"/>
            <w:vAlign w:val="bottom"/>
          </w:tcPr>
          <w:p>
            <w:pPr>
              <w:spacing w:after="0"/>
              <w:rPr>
                <w:sz w:val="17"/>
                <w:szCs w:val="17"/>
                <w:color w:val="auto"/>
              </w:rPr>
            </w:pP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83"/>
        </w:trPr>
        <w:tc>
          <w:tcPr>
            <w:tcW w:w="374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183"/>
        </w:trPr>
        <w:tc>
          <w:tcPr>
            <w:tcW w:w="37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Operating revenues: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Fee Revenue</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14,942</w:t>
            </w:r>
          </w:p>
        </w:tc>
        <w:tc>
          <w:tcPr>
            <w:tcW w:w="220" w:type="dxa"/>
            <w:vAlign w:val="bottom"/>
          </w:tcPr>
          <w:p>
            <w:pPr>
              <w:spacing w:after="0"/>
              <w:rPr>
                <w:sz w:val="16"/>
                <w:szCs w:val="16"/>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6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38,936</w:t>
            </w:r>
          </w:p>
        </w:tc>
        <w:tc>
          <w:tcPr>
            <w:tcW w:w="220" w:type="dxa"/>
            <w:vAlign w:val="bottom"/>
          </w:tcPr>
          <w:p>
            <w:pPr>
              <w:spacing w:after="0"/>
              <w:rPr>
                <w:sz w:val="16"/>
                <w:szCs w:val="16"/>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39,727</w:t>
            </w:r>
          </w:p>
        </w:tc>
        <w:tc>
          <w:tcPr>
            <w:tcW w:w="40" w:type="dxa"/>
            <w:vAlign w:val="bottom"/>
          </w:tcPr>
          <w:p>
            <w:pPr>
              <w:spacing w:after="0"/>
              <w:rPr>
                <w:sz w:val="16"/>
                <w:szCs w:val="16"/>
                <w:color w:val="auto"/>
              </w:rPr>
            </w:pPr>
          </w:p>
        </w:tc>
      </w:tr>
      <w:tr>
        <w:trPr>
          <w:trHeight w:val="18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Reimbursable Revenue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7,804</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9,739</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18,790</w:t>
            </w:r>
          </w:p>
        </w:tc>
        <w:tc>
          <w:tcPr>
            <w:tcW w:w="40" w:type="dxa"/>
            <w:vAlign w:val="bottom"/>
            <w:shd w:val="clear" w:color="auto" w:fill="CCEEFF"/>
          </w:tcPr>
          <w:p>
            <w:pPr>
              <w:spacing w:after="0"/>
              <w:rPr>
                <w:sz w:val="16"/>
                <w:szCs w:val="16"/>
                <w:color w:val="auto"/>
              </w:rPr>
            </w:pPr>
          </w:p>
        </w:tc>
      </w:tr>
      <w:tr>
        <w:trPr>
          <w:trHeight w:val="183"/>
        </w:trPr>
        <w:tc>
          <w:tcPr>
            <w:tcW w:w="37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22,746</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14,421</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48,675</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58,517</w:t>
            </w:r>
          </w:p>
        </w:tc>
        <w:tc>
          <w:tcPr>
            <w:tcW w:w="40" w:type="dxa"/>
            <w:vAlign w:val="bottom"/>
            <w:tcBorders>
              <w:bottom w:val="single" w:sz="8" w:color="CCEEFF"/>
            </w:tcBorders>
          </w:tcPr>
          <w:p>
            <w:pPr>
              <w:spacing w:after="0"/>
              <w:rPr>
                <w:sz w:val="15"/>
                <w:szCs w:val="15"/>
                <w:color w:val="auto"/>
              </w:rPr>
            </w:pPr>
          </w:p>
        </w:tc>
      </w:tr>
      <w:tr>
        <w:trPr>
          <w:trHeight w:val="182"/>
        </w:trPr>
        <w:tc>
          <w:tcPr>
            <w:tcW w:w="37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Operating costs: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Fee operating expenses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31,712</w:t>
            </w:r>
          </w:p>
        </w:tc>
        <w:tc>
          <w:tcPr>
            <w:tcW w:w="40" w:type="dxa"/>
            <w:vAlign w:val="bottom"/>
            <w:shd w:val="clear" w:color="auto" w:fill="CCEEFF"/>
          </w:tcPr>
          <w:p>
            <w:pPr>
              <w:spacing w:after="0"/>
              <w:rPr>
                <w:sz w:val="16"/>
                <w:szCs w:val="16"/>
                <w:color w:val="auto"/>
              </w:rPr>
            </w:pPr>
          </w:p>
        </w:tc>
      </w:tr>
      <w:tr>
        <w:trPr>
          <w:trHeight w:val="189"/>
        </w:trPr>
        <w:tc>
          <w:tcPr>
            <w:tcW w:w="3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Reimbursable operating expenses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7,804</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9,739</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18,790</w:t>
            </w:r>
          </w:p>
        </w:tc>
        <w:tc>
          <w:tcPr>
            <w:tcW w:w="40" w:type="dxa"/>
            <w:vAlign w:val="bottom"/>
            <w:tcBorders>
              <w:bottom w:val="single" w:sz="8" w:color="CCEEFF"/>
            </w:tcBorders>
          </w:tcPr>
          <w:p>
            <w:pPr>
              <w:spacing w:after="0"/>
              <w:rPr>
                <w:sz w:val="16"/>
                <w:szCs w:val="16"/>
                <w:color w:val="auto"/>
              </w:rPr>
            </w:pPr>
          </w:p>
        </w:tc>
      </w:tr>
      <w:tr>
        <w:trPr>
          <w:trHeight w:val="183"/>
        </w:trPr>
        <w:tc>
          <w:tcPr>
            <w:tcW w:w="3740" w:type="dxa"/>
            <w:vAlign w:val="bottom"/>
            <w:shd w:val="clear" w:color="auto" w:fill="CCEEFF"/>
          </w:tcPr>
          <w:p>
            <w:pPr>
              <w:ind w:left="440"/>
              <w:spacing w:after="0" w:line="183" w:lineRule="exact"/>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20,459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16,151</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40,955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50,502</w:t>
            </w:r>
          </w:p>
        </w:tc>
        <w:tc>
          <w:tcPr>
            <w:tcW w:w="40" w:type="dxa"/>
            <w:vAlign w:val="bottom"/>
            <w:shd w:val="clear" w:color="auto" w:fill="CCEEFF"/>
          </w:tcPr>
          <w:p>
            <w:pPr>
              <w:spacing w:after="0"/>
              <w:rPr>
                <w:sz w:val="15"/>
                <w:szCs w:val="15"/>
                <w:color w:val="auto"/>
              </w:rPr>
            </w:pPr>
          </w:p>
        </w:tc>
      </w:tr>
      <w:tr>
        <w:trPr>
          <w:trHeight w:val="189"/>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40" w:type="dxa"/>
            <w:vAlign w:val="bottom"/>
          </w:tcPr>
          <w:p>
            <w:pPr>
              <w:spacing w:after="0"/>
              <w:rPr>
                <w:sz w:val="16"/>
                <w:szCs w:val="16"/>
                <w:color w:val="auto"/>
              </w:rPr>
            </w:pPr>
          </w:p>
        </w:tc>
      </w:tr>
      <w:tr>
        <w:trPr>
          <w:trHeight w:val="18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40" w:type="dxa"/>
            <w:vAlign w:val="bottom"/>
            <w:shd w:val="clear" w:color="auto" w:fill="CCEEFF"/>
          </w:tcPr>
          <w:p>
            <w:pPr>
              <w:spacing w:after="0"/>
              <w:rPr>
                <w:sz w:val="16"/>
                <w:szCs w:val="16"/>
                <w:color w:val="auto"/>
              </w:rPr>
            </w:pPr>
          </w:p>
        </w:tc>
      </w:tr>
      <w:tr>
        <w:trPr>
          <w:trHeight w:val="183"/>
        </w:trPr>
        <w:tc>
          <w:tcPr>
            <w:tcW w:w="37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23,918</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20,169</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51,184</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62,232</w:t>
            </w:r>
          </w:p>
        </w:tc>
        <w:tc>
          <w:tcPr>
            <w:tcW w:w="40" w:type="dxa"/>
            <w:vAlign w:val="bottom"/>
            <w:tcBorders>
              <w:bottom w:val="single" w:sz="8" w:color="CCEEFF"/>
            </w:tcBorders>
          </w:tcPr>
          <w:p>
            <w:pPr>
              <w:spacing w:after="0"/>
              <w:rPr>
                <w:sz w:val="15"/>
                <w:szCs w:val="15"/>
                <w:color w:val="auto"/>
              </w:rPr>
            </w:pPr>
          </w:p>
        </w:tc>
      </w:tr>
      <w:tr>
        <w:trPr>
          <w:trHeight w:val="183"/>
        </w:trPr>
        <w:tc>
          <w:tcPr>
            <w:tcW w:w="3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6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(1,172)</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(5,748)</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(2,509)</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(3,715)</w:t>
            </w:r>
          </w:p>
        </w:tc>
      </w:tr>
      <w:tr>
        <w:trPr>
          <w:trHeight w:val="189"/>
        </w:trPr>
        <w:tc>
          <w:tcPr>
            <w:tcW w:w="3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40" w:type="dxa"/>
            <w:vAlign w:val="bottom"/>
            <w:shd w:val="clear" w:color="auto" w:fill="CCEEFF"/>
          </w:tcPr>
          <w:p>
            <w:pPr>
              <w:spacing w:after="0"/>
              <w:rPr>
                <w:sz w:val="16"/>
                <w:szCs w:val="16"/>
                <w:color w:val="auto"/>
              </w:rPr>
            </w:pPr>
          </w:p>
        </w:tc>
      </w:tr>
      <w:tr>
        <w:trPr>
          <w:trHeight w:val="189"/>
        </w:trPr>
        <w:tc>
          <w:tcPr>
            <w:tcW w:w="3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(205)</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w:t>
            </w:r>
          </w:p>
        </w:tc>
      </w:tr>
      <w:tr>
        <w:trPr>
          <w:trHeight w:val="18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40" w:type="dxa"/>
            <w:vAlign w:val="bottom"/>
            <w:shd w:val="clear" w:color="auto" w:fill="CCEEFF"/>
          </w:tcPr>
          <w:p>
            <w:pPr>
              <w:spacing w:after="0"/>
              <w:rPr>
                <w:sz w:val="16"/>
                <w:szCs w:val="16"/>
                <w:color w:val="auto"/>
              </w:rPr>
            </w:pPr>
          </w:p>
        </w:tc>
      </w:tr>
      <w:tr>
        <w:trPr>
          <w:trHeight w:val="183"/>
        </w:trPr>
        <w:tc>
          <w:tcPr>
            <w:tcW w:w="3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(1,143)</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(5,652)</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(2,504)</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(3,281)</w:t>
            </w:r>
          </w:p>
        </w:tc>
      </w:tr>
      <w:tr>
        <w:trPr>
          <w:trHeight w:val="189"/>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tax (expense) benefit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r>
      <w:tr>
        <w:trPr>
          <w:trHeight w:val="183"/>
        </w:trPr>
        <w:tc>
          <w:tcPr>
            <w:tcW w:w="37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(1,153)</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(5,617)</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(2,510)</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(3,317)</w:t>
            </w:r>
          </w:p>
        </w:tc>
      </w:tr>
      <w:tr>
        <w:trPr>
          <w:trHeight w:val="189"/>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(loss) income on foreign exchange rate</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translation</w:t>
            </w:r>
          </w:p>
        </w:tc>
        <w:tc>
          <w:tcPr>
            <w:tcW w:w="2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(241)</w:t>
            </w:r>
          </w:p>
        </w:tc>
      </w:tr>
      <w:tr>
        <w:trPr>
          <w:trHeight w:val="183"/>
        </w:trPr>
        <w:tc>
          <w:tcPr>
            <w:tcW w:w="37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(1,224)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(5,588)</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(3,558)</w:t>
            </w:r>
          </w:p>
        </w:tc>
      </w:tr>
      <w:tr>
        <w:trPr>
          <w:trHeight w:val="170"/>
        </w:trPr>
        <w:tc>
          <w:tcPr>
            <w:tcW w:w="37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loss per share of common stock</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(0.18)</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r>
      <w:tr>
        <w:trPr>
          <w:trHeight w:val="170"/>
        </w:trPr>
        <w:tc>
          <w:tcPr>
            <w:tcW w:w="37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loss per share of common stock</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(0.18)</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r>
      <w:tr>
        <w:trPr>
          <w:trHeight w:val="170"/>
        </w:trPr>
        <w:tc>
          <w:tcPr>
            <w:tcW w:w="37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9019"/>
          </w:cols>
          <w:pgMar w:left="1440" w:top="117" w:right="1440" w:bottom="1440" w:gutter="0" w:footer="0" w:header="0"/>
        </w:sectPr>
      </w:pPr>
    </w:p>
    <w:p>
      <w:pPr>
        <w:ind w:left="40"/>
        <w:spacing w:after="0" w:line="280" w:lineRule="auto"/>
        <w:rPr>
          <w:sz w:val="20"/>
          <w:szCs w:val="20"/>
          <w:color w:val="auto"/>
        </w:rPr>
      </w:pPr>
      <w:r>
        <w:rPr>
          <w:rFonts w:ascii="Times New Roman" w:cs="Times New Roman" w:eastAsia="Times New Roman" w:hAnsi="Times New Roman"/>
          <w:sz w:val="16"/>
          <w:szCs w:val="16"/>
          <w:b w:val="1"/>
          <w:bCs w:val="1"/>
          <w:color w:val="auto"/>
        </w:rPr>
        <w:t>Weighted average equivalent common shares outstanding</w:t>
      </w:r>
    </w:p>
    <w:p>
      <w:pPr>
        <w:spacing w:after="0" w:line="162" w:lineRule="exact"/>
        <w:rPr>
          <w:sz w:val="20"/>
          <w:szCs w:val="20"/>
          <w:color w:val="auto"/>
        </w:rPr>
      </w:pPr>
    </w:p>
    <w:p>
      <w:pPr>
        <w:ind w:left="40"/>
        <w:spacing w:after="0" w:line="301" w:lineRule="auto"/>
        <w:rPr>
          <w:sz w:val="20"/>
          <w:szCs w:val="20"/>
          <w:color w:val="auto"/>
        </w:rPr>
      </w:pPr>
      <w:r>
        <w:rPr>
          <w:rFonts w:ascii="Times New Roman" w:cs="Times New Roman" w:eastAsia="Times New Roman" w:hAnsi="Times New Roman"/>
          <w:sz w:val="16"/>
          <w:szCs w:val="16"/>
          <w:b w:val="1"/>
          <w:bCs w:val="1"/>
          <w:color w:val="auto"/>
        </w:rPr>
        <w:t>Weighted average equivalent common shares outstanding - assuming dilution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31,047,801</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30,906,777</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31,006,304</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30,845,076</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48"/>
        </w:trPr>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31,047,801</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30,906,777</w:t>
            </w:r>
          </w:p>
        </w:tc>
        <w:tc>
          <w:tcPr>
            <w:tcW w:w="1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31,006,304</w:t>
            </w:r>
          </w:p>
        </w:tc>
        <w:tc>
          <w:tcPr>
            <w:tcW w:w="2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30,845,076</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2125980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-402590</wp:posOffset>
            </wp:positionV>
            <wp:extent cx="565785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ectPr>
          <w:pgSz w:w="11900" w:h="16838" w:orient="portrait"/>
          <w:cols w:equalWidth="0" w:num="2">
            <w:col w:w="3160" w:space="620"/>
            <w:col w:w="5239"/>
          </w:cols>
          <w:pgMar w:left="1440" w:top="117" w:right="1440" w:bottom="1440" w:gutter="0" w:footer="0" w:header="0"/>
          <w:type w:val="continuous"/>
        </w:sectPr>
      </w:pPr>
    </w:p>
    <w:bookmarkStart w:id="7" w:name="page8"/>
    <w:bookmarkEnd w:id="7"/>
    <w:p>
      <w:pPr>
        <w:ind w:left="2940"/>
        <w:spacing w:after="0"/>
        <w:rPr>
          <w:sz w:val="20"/>
          <w:szCs w:val="20"/>
          <w:color w:val="auto"/>
        </w:rPr>
      </w:pPr>
      <w:r>
        <w:rPr>
          <w:rFonts w:ascii="Times New Roman" w:cs="Times New Roman" w:eastAsia="Times New Roman" w:hAnsi="Times New Roman"/>
          <w:sz w:val="18"/>
          <w:szCs w:val="18"/>
          <w:b w:val="1"/>
          <w:bCs w:val="1"/>
          <w:color w:val="auto"/>
        </w:rPr>
        <w:t>DAWSON GEOPHYSICAL COMPANY</w:t>
      </w:r>
    </w:p>
    <w:p>
      <w:pPr>
        <w:spacing w:after="0" w:line="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and amounts in thousands, except share data)</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6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60" w:type="dxa"/>
            <w:vAlign w:val="bottom"/>
            <w:shd w:val="clear" w:color="auto" w:fill="CCEEFF"/>
          </w:tcPr>
          <w:p>
            <w:pPr>
              <w:ind w:left="292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Borders>
              <w:bottom w:val="single" w:sz="8" w:color="CCEEFF"/>
            </w:tcBorders>
          </w:tcPr>
          <w:p>
            <w:pPr>
              <w:ind w:left="440"/>
              <w:spacing w:after="0" w:line="183" w:lineRule="exact"/>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13,186</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14,541</w:t>
            </w:r>
          </w:p>
        </w:tc>
        <w:tc>
          <w:tcPr>
            <w:tcW w:w="1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250,374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238,064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(226,553)</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(225,085)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23,821</w:t>
            </w:r>
          </w:p>
        </w:tc>
        <w:tc>
          <w:tcPr>
            <w:tcW w:w="2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12,979</w:t>
            </w:r>
          </w:p>
        </w:tc>
        <w:tc>
          <w:tcPr>
            <w:tcW w:w="1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lease right-of-use assets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Intangibles, net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440"/>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40,575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30,870</w:t>
            </w: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200" w:type="dxa"/>
            <w:vAlign w:val="bottom"/>
          </w:tcPr>
          <w:p>
            <w:pPr>
              <w:spacing w:after="0"/>
              <w:rPr>
                <w:sz w:val="16"/>
                <w:szCs w:val="16"/>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Payroll costs and other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notes payable and finance leases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maturities of operating lease liabilities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shd w:val="clear" w:color="auto" w:fill="CCEEFF"/>
          </w:tcPr>
          <w:p>
            <w:pPr>
              <w:ind w:left="440"/>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16,535</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9,930</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Notes payable and finance leases, net of current maturities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net of current maturities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shd w:val="clear" w:color="auto" w:fill="CCEEFF"/>
          </w:tcPr>
          <w:p>
            <w:pPr>
              <w:ind w:left="440"/>
              <w:spacing w:after="0" w:line="183" w:lineRule="exact"/>
              <w:rPr>
                <w:sz w:val="20"/>
                <w:szCs w:val="20"/>
                <w:color w:val="auto"/>
              </w:rPr>
            </w:pPr>
            <w:r>
              <w:rPr>
                <w:rFonts w:ascii="Times New Roman" w:cs="Times New Roman" w:eastAsia="Times New Roman" w:hAnsi="Times New Roman"/>
                <w:sz w:val="16"/>
                <w:szCs w:val="16"/>
                <w:color w:val="auto"/>
              </w:rPr>
              <w:t>Total long-term liabilities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8,851</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3,659</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stock-par value $1.00 per share; 4,000,000 shares authorized, none outstanding</w:t>
            </w:r>
          </w:p>
        </w:tc>
        <w:tc>
          <w:tcPr>
            <w:tcW w:w="2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stock-par value $0.01 per share; 35,000,000 shares authorized,</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31,047,801 and 30,983,437 shares issued and outstanding at September 30, 2025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and December 31, 2024, respectively</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157,115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157,073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(140,129)</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(137,619)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(2,107)</w:t>
            </w:r>
          </w:p>
        </w:tc>
        <w:tc>
          <w:tcPr>
            <w:tcW w:w="2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Borders>
              <w:top w:val="single" w:sz="8" w:color="CCEEFF"/>
            </w:tcBorders>
            <w:shd w:val="clear" w:color="auto" w:fill="CCEEFF"/>
          </w:tcPr>
          <w:p>
            <w:pPr>
              <w:ind w:left="440"/>
              <w:spacing w:after="0" w:line="183" w:lineRule="exact"/>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15,189</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17,281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40,575</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30,870</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2"/>
        </w:trPr>
        <w:tc>
          <w:tcPr>
            <w:tcW w:w="6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65"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(Loss)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11"/>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2025 US</w:t>
            </w:r>
          </w:p>
        </w:tc>
        <w:tc>
          <w:tcPr>
            <w:tcW w:w="100" w:type="dxa"/>
            <w:vAlign w:val="bottom"/>
          </w:tcPr>
          <w:p>
            <w:pPr>
              <w:spacing w:after="0"/>
              <w:rPr>
                <w:sz w:val="15"/>
                <w:szCs w:val="15"/>
                <w:color w:val="auto"/>
              </w:rPr>
            </w:pPr>
          </w:p>
        </w:tc>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2025 CA</w:t>
            </w:r>
          </w:p>
        </w:tc>
        <w:tc>
          <w:tcPr>
            <w:tcW w:w="108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2025 Consol.</w:t>
            </w:r>
          </w:p>
        </w:tc>
        <w:tc>
          <w:tcPr>
            <w:tcW w:w="100" w:type="dxa"/>
            <w:vAlign w:val="bottom"/>
          </w:tcPr>
          <w:p>
            <w:pPr>
              <w:spacing w:after="0"/>
              <w:rPr>
                <w:sz w:val="15"/>
                <w:szCs w:val="15"/>
                <w:color w:val="auto"/>
              </w:rPr>
            </w:pPr>
          </w:p>
        </w:tc>
        <w:tc>
          <w:tcPr>
            <w:tcW w:w="880" w:type="dxa"/>
            <w:vAlign w:val="bottom"/>
            <w:gridSpan w:val="2"/>
          </w:tcPr>
          <w:p>
            <w:pPr>
              <w:jc w:val="right"/>
              <w:ind w:right="280"/>
              <w:spacing w:after="0" w:line="183" w:lineRule="exact"/>
              <w:rPr>
                <w:sz w:val="20"/>
                <w:szCs w:val="20"/>
                <w:color w:val="auto"/>
              </w:rPr>
            </w:pPr>
            <w:r>
              <w:rPr>
                <w:rFonts w:ascii="Times New Roman" w:cs="Times New Roman" w:eastAsia="Times New Roman" w:hAnsi="Times New Roman"/>
                <w:sz w:val="16"/>
                <w:szCs w:val="16"/>
                <w:b w:val="1"/>
                <w:bCs w:val="1"/>
                <w:color w:val="auto"/>
              </w:rPr>
              <w:t>2024 US</w:t>
            </w:r>
          </w:p>
        </w:tc>
        <w:tc>
          <w:tcPr>
            <w:tcW w:w="100" w:type="dxa"/>
            <w:vAlign w:val="bottom"/>
          </w:tcPr>
          <w:p>
            <w:pPr>
              <w:spacing w:after="0"/>
              <w:rPr>
                <w:sz w:val="15"/>
                <w:szCs w:val="15"/>
                <w:color w:val="auto"/>
              </w:rPr>
            </w:pPr>
          </w:p>
        </w:tc>
        <w:tc>
          <w:tcPr>
            <w:tcW w:w="8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2024 CA</w:t>
            </w:r>
          </w:p>
        </w:tc>
        <w:tc>
          <w:tcPr>
            <w:tcW w:w="92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w w:val="98"/>
              </w:rPr>
              <w:t>2024 Consol.</w:t>
            </w:r>
          </w:p>
        </w:tc>
        <w:tc>
          <w:tcPr>
            <w:tcW w:w="20" w:type="dxa"/>
            <w:vAlign w:val="bottom"/>
          </w:tcPr>
          <w:p>
            <w:pPr>
              <w:spacing w:after="0"/>
              <w:rPr>
                <w:sz w:val="15"/>
                <w:szCs w:val="15"/>
                <w:color w:val="auto"/>
              </w:rPr>
            </w:pPr>
          </w:p>
        </w:tc>
      </w:tr>
      <w:tr>
        <w:trPr>
          <w:trHeight w:val="183"/>
        </w:trPr>
        <w:tc>
          <w:tcPr>
            <w:tcW w:w="30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60</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(1,213)</w:t>
            </w: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(1,153)</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(4,423)</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(1,194)</w:t>
            </w: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(5,617)</w:t>
            </w:r>
          </w:p>
        </w:tc>
        <w:tc>
          <w:tcPr>
            <w:tcW w:w="20" w:type="dxa"/>
            <w:vAlign w:val="bottom"/>
          </w:tcPr>
          <w:p>
            <w:pPr>
              <w:spacing w:after="0"/>
              <w:rPr>
                <w:sz w:val="15"/>
                <w:szCs w:val="15"/>
                <w:color w:val="auto"/>
              </w:rPr>
            </w:pPr>
          </w:p>
        </w:tc>
      </w:tr>
      <w:tr>
        <w:trPr>
          <w:trHeight w:val="189"/>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0" w:type="dxa"/>
            <w:vAlign w:val="bottom"/>
          </w:tcPr>
          <w:p>
            <w:pPr>
              <w:spacing w:after="0"/>
              <w:rPr>
                <w:sz w:val="16"/>
                <w:szCs w:val="16"/>
                <w:color w:val="auto"/>
              </w:rPr>
            </w:pPr>
          </w:p>
        </w:tc>
      </w:tr>
      <w:tr>
        <w:trPr>
          <w:trHeight w:val="18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6"/>
                <w:szCs w:val="16"/>
                <w:color w:val="auto"/>
              </w:rPr>
            </w:pPr>
          </w:p>
        </w:tc>
      </w:tr>
      <w:tr>
        <w:trPr>
          <w:trHeight w:val="189"/>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6"/>
                <w:szCs w:val="16"/>
                <w:color w:val="auto"/>
              </w:rPr>
            </w:pPr>
          </w:p>
        </w:tc>
      </w:tr>
      <w:tr>
        <w:trPr>
          <w:trHeight w:val="183"/>
        </w:trPr>
        <w:tc>
          <w:tcPr>
            <w:tcW w:w="3000" w:type="dxa"/>
            <w:vAlign w:val="bottom"/>
            <w:tcBorders>
              <w:top w:val="single" w:sz="8" w:color="CCEEFF"/>
              <w:bottom w:val="single" w:sz="8" w:color="CCEEFF"/>
            </w:tcBorders>
            <w:shd w:val="clear" w:color="auto" w:fill="CCEEFF"/>
          </w:tcPr>
          <w:p>
            <w:pPr>
              <w:ind w:left="220"/>
              <w:spacing w:after="0" w:line="183" w:lineRule="exact"/>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(1,023)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218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(3,348)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(953)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(4,301)</w:t>
            </w:r>
          </w:p>
        </w:tc>
        <w:tc>
          <w:tcPr>
            <w:tcW w:w="20" w:type="dxa"/>
            <w:vAlign w:val="bottom"/>
          </w:tcPr>
          <w:p>
            <w:pPr>
              <w:spacing w:after="0"/>
              <w:rPr>
                <w:sz w:val="15"/>
                <w:szCs w:val="15"/>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2025 US</w:t>
            </w: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8"/>
              </w:rPr>
              <w:t>2025 CA</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2025 Consol.</w:t>
            </w:r>
          </w:p>
        </w:tc>
        <w:tc>
          <w:tcPr>
            <w:tcW w:w="100" w:type="dxa"/>
            <w:vAlign w:val="bottom"/>
          </w:tcPr>
          <w:p>
            <w:pPr>
              <w:spacing w:after="0"/>
              <w:rPr>
                <w:sz w:val="15"/>
                <w:szCs w:val="15"/>
                <w:color w:val="auto"/>
              </w:rPr>
            </w:pPr>
          </w:p>
        </w:tc>
        <w:tc>
          <w:tcPr>
            <w:tcW w:w="880" w:type="dxa"/>
            <w:vAlign w:val="bottom"/>
            <w:gridSpan w:val="2"/>
          </w:tcPr>
          <w:p>
            <w:pPr>
              <w:jc w:val="right"/>
              <w:ind w:right="280"/>
              <w:spacing w:after="0" w:line="183" w:lineRule="exact"/>
              <w:rPr>
                <w:sz w:val="20"/>
                <w:szCs w:val="20"/>
                <w:color w:val="auto"/>
              </w:rPr>
            </w:pPr>
            <w:r>
              <w:rPr>
                <w:rFonts w:ascii="Times New Roman" w:cs="Times New Roman" w:eastAsia="Times New Roman" w:hAnsi="Times New Roman"/>
                <w:sz w:val="16"/>
                <w:szCs w:val="16"/>
                <w:b w:val="1"/>
                <w:bCs w:val="1"/>
                <w:color w:val="auto"/>
              </w:rPr>
              <w:t>2024 US</w:t>
            </w:r>
          </w:p>
        </w:tc>
        <w:tc>
          <w:tcPr>
            <w:tcW w:w="100" w:type="dxa"/>
            <w:vAlign w:val="bottom"/>
          </w:tcPr>
          <w:p>
            <w:pPr>
              <w:spacing w:after="0"/>
              <w:rPr>
                <w:sz w:val="15"/>
                <w:szCs w:val="15"/>
                <w:color w:val="auto"/>
              </w:rPr>
            </w:pPr>
          </w:p>
        </w:tc>
        <w:tc>
          <w:tcPr>
            <w:tcW w:w="8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2024 CA</w:t>
            </w:r>
          </w:p>
        </w:tc>
        <w:tc>
          <w:tcPr>
            <w:tcW w:w="92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w w:val="98"/>
              </w:rPr>
              <w:t>2024 Consol.</w:t>
            </w:r>
          </w:p>
        </w:tc>
        <w:tc>
          <w:tcPr>
            <w:tcW w:w="20" w:type="dxa"/>
            <w:vAlign w:val="bottom"/>
          </w:tcPr>
          <w:p>
            <w:pPr>
              <w:spacing w:after="0"/>
              <w:rPr>
                <w:sz w:val="15"/>
                <w:szCs w:val="15"/>
                <w:color w:val="auto"/>
              </w:rPr>
            </w:pPr>
          </w:p>
        </w:tc>
      </w:tr>
      <w:tr>
        <w:trPr>
          <w:trHeight w:val="183"/>
        </w:trPr>
        <w:tc>
          <w:tcPr>
            <w:tcW w:w="30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(5,783)</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3,273</w:t>
            </w: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(2,510)</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(4,552)</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1,235</w:t>
            </w: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(3,317)</w:t>
            </w:r>
          </w:p>
        </w:tc>
        <w:tc>
          <w:tcPr>
            <w:tcW w:w="20" w:type="dxa"/>
            <w:vAlign w:val="bottom"/>
          </w:tcPr>
          <w:p>
            <w:pPr>
              <w:spacing w:after="0"/>
              <w:rPr>
                <w:sz w:val="15"/>
                <w:szCs w:val="15"/>
                <w:color w:val="auto"/>
              </w:rPr>
            </w:pPr>
          </w:p>
        </w:tc>
      </w:tr>
      <w:tr>
        <w:trPr>
          <w:trHeight w:val="189"/>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20" w:type="dxa"/>
            <w:vAlign w:val="bottom"/>
          </w:tcPr>
          <w:p>
            <w:pPr>
              <w:spacing w:after="0"/>
              <w:rPr>
                <w:sz w:val="16"/>
                <w:szCs w:val="16"/>
                <w:color w:val="auto"/>
              </w:rPr>
            </w:pPr>
          </w:p>
        </w:tc>
      </w:tr>
      <w:tr>
        <w:trPr>
          <w:trHeight w:val="18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0" w:type="dxa"/>
            <w:vAlign w:val="bottom"/>
          </w:tcPr>
          <w:p>
            <w:pPr>
              <w:spacing w:after="0"/>
              <w:rPr>
                <w:sz w:val="16"/>
                <w:szCs w:val="16"/>
                <w:color w:val="auto"/>
              </w:rPr>
            </w:pPr>
          </w:p>
        </w:tc>
      </w:tr>
      <w:tr>
        <w:trPr>
          <w:trHeight w:val="189"/>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6"/>
                <w:szCs w:val="16"/>
                <w:color w:val="auto"/>
              </w:rPr>
            </w:pPr>
          </w:p>
        </w:tc>
      </w:tr>
      <w:tr>
        <w:trPr>
          <w:trHeight w:val="183"/>
        </w:trPr>
        <w:tc>
          <w:tcPr>
            <w:tcW w:w="3000" w:type="dxa"/>
            <w:vAlign w:val="bottom"/>
            <w:tcBorders>
              <w:top w:val="single" w:sz="8" w:color="CCEEFF"/>
              <w:bottom w:val="single" w:sz="8" w:color="CCEEFF"/>
            </w:tcBorders>
            <w:shd w:val="clear" w:color="auto" w:fill="CCEEFF"/>
          </w:tcPr>
          <w:p>
            <w:pPr>
              <w:ind w:left="220"/>
              <w:spacing w:after="0" w:line="183" w:lineRule="exact"/>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(2,465)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3,862</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1,397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(1,062)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1,994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932</w:t>
            </w:r>
          </w:p>
        </w:tc>
        <w:tc>
          <w:tcPr>
            <w:tcW w:w="20" w:type="dxa"/>
            <w:vAlign w:val="bottom"/>
          </w:tcPr>
          <w:p>
            <w:pPr>
              <w:spacing w:after="0"/>
              <w:rPr>
                <w:sz w:val="15"/>
                <w:szCs w:val="15"/>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6" w:lineRule="exact"/>
        <w:rPr>
          <w:sz w:val="20"/>
          <w:szCs w:val="20"/>
          <w:color w:val="auto"/>
        </w:rPr>
      </w:pPr>
    </w:p>
    <w:p>
      <w:pPr>
        <w:ind w:left="60" w:right="2659"/>
        <w:spacing w:after="0" w:line="286" w:lineRule="auto"/>
        <w:rPr>
          <w:sz w:val="20"/>
          <w:szCs w:val="20"/>
          <w:color w:val="auto"/>
        </w:rPr>
      </w:pPr>
      <w:r>
        <w:rPr>
          <w:rFonts w:ascii="Times New Roman" w:cs="Times New Roman" w:eastAsia="Times New Roman" w:hAnsi="Times New Roman"/>
          <w:sz w:val="18"/>
          <w:szCs w:val="18"/>
          <w:b w:val="1"/>
          <w:bCs w:val="1"/>
          <w:color w:val="auto"/>
        </w:rPr>
        <w:t>Reconciliation of EBITDA to Net Cash (Used in) Provided By Operating Activities (amounts in thousands)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11"/>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00"/>
              <w:spacing w:after="0" w:line="183" w:lineRule="exact"/>
              <w:rPr>
                <w:sz w:val="20"/>
                <w:szCs w:val="20"/>
                <w:color w:val="auto"/>
              </w:rPr>
            </w:pPr>
            <w:r>
              <w:rPr>
                <w:rFonts w:ascii="Times New Roman" w:cs="Times New Roman" w:eastAsia="Times New Roman" w:hAnsi="Times New Roman"/>
                <w:sz w:val="16"/>
                <w:szCs w:val="16"/>
                <w:b w:val="1"/>
                <w:bCs w:val="1"/>
                <w:color w:val="auto"/>
                <w:w w:val="99"/>
              </w:rPr>
              <w:t>2025 US</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line="183" w:lineRule="exact"/>
              <w:rPr>
                <w:sz w:val="20"/>
                <w:szCs w:val="20"/>
                <w:color w:val="auto"/>
              </w:rPr>
            </w:pPr>
            <w:r>
              <w:rPr>
                <w:rFonts w:ascii="Times New Roman" w:cs="Times New Roman" w:eastAsia="Times New Roman" w:hAnsi="Times New Roman"/>
                <w:sz w:val="16"/>
                <w:szCs w:val="16"/>
                <w:b w:val="1"/>
                <w:bCs w:val="1"/>
                <w:color w:val="auto"/>
                <w:w w:val="98"/>
              </w:rPr>
              <w:t>2025 CA</w:t>
            </w:r>
          </w:p>
        </w:tc>
        <w:tc>
          <w:tcPr>
            <w:tcW w:w="106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2025 Consol.</w:t>
            </w:r>
          </w:p>
        </w:tc>
        <w:tc>
          <w:tcPr>
            <w:tcW w:w="120" w:type="dxa"/>
            <w:vAlign w:val="bottom"/>
          </w:tcPr>
          <w:p>
            <w:pPr>
              <w:spacing w:after="0"/>
              <w:rPr>
                <w:sz w:val="15"/>
                <w:szCs w:val="15"/>
                <w:color w:val="auto"/>
              </w:rPr>
            </w:pPr>
          </w:p>
        </w:tc>
        <w:tc>
          <w:tcPr>
            <w:tcW w:w="880" w:type="dxa"/>
            <w:vAlign w:val="bottom"/>
            <w:gridSpan w:val="2"/>
          </w:tcPr>
          <w:p>
            <w:pPr>
              <w:jc w:val="right"/>
              <w:ind w:right="300"/>
              <w:spacing w:after="0" w:line="183" w:lineRule="exact"/>
              <w:rPr>
                <w:sz w:val="20"/>
                <w:szCs w:val="20"/>
                <w:color w:val="auto"/>
              </w:rPr>
            </w:pPr>
            <w:r>
              <w:rPr>
                <w:rFonts w:ascii="Times New Roman" w:cs="Times New Roman" w:eastAsia="Times New Roman" w:hAnsi="Times New Roman"/>
                <w:sz w:val="16"/>
                <w:szCs w:val="16"/>
                <w:b w:val="1"/>
                <w:bCs w:val="1"/>
                <w:color w:val="auto"/>
                <w:w w:val="99"/>
              </w:rPr>
              <w:t>2024 US</w:t>
            </w:r>
          </w:p>
        </w:tc>
        <w:tc>
          <w:tcPr>
            <w:tcW w:w="100" w:type="dxa"/>
            <w:vAlign w:val="bottom"/>
          </w:tcPr>
          <w:p>
            <w:pPr>
              <w:spacing w:after="0"/>
              <w:rPr>
                <w:sz w:val="15"/>
                <w:szCs w:val="15"/>
                <w:color w:val="auto"/>
              </w:rPr>
            </w:pPr>
          </w:p>
        </w:tc>
        <w:tc>
          <w:tcPr>
            <w:tcW w:w="880" w:type="dxa"/>
            <w:vAlign w:val="bottom"/>
            <w:gridSpan w:val="2"/>
          </w:tcPr>
          <w:p>
            <w:pPr>
              <w:jc w:val="right"/>
              <w:ind w:right="280"/>
              <w:spacing w:after="0" w:line="183" w:lineRule="exact"/>
              <w:rPr>
                <w:sz w:val="20"/>
                <w:szCs w:val="20"/>
                <w:color w:val="auto"/>
              </w:rPr>
            </w:pPr>
            <w:r>
              <w:rPr>
                <w:rFonts w:ascii="Times New Roman" w:cs="Times New Roman" w:eastAsia="Times New Roman" w:hAnsi="Times New Roman"/>
                <w:sz w:val="16"/>
                <w:szCs w:val="16"/>
                <w:b w:val="1"/>
                <w:bCs w:val="1"/>
                <w:color w:val="auto"/>
                <w:w w:val="98"/>
              </w:rPr>
              <w:t>2024 CA</w:t>
            </w:r>
          </w:p>
        </w:tc>
        <w:tc>
          <w:tcPr>
            <w:tcW w:w="9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w w:val="98"/>
              </w:rPr>
              <w:t>2024 Consol.</w:t>
            </w:r>
          </w:p>
        </w:tc>
        <w:tc>
          <w:tcPr>
            <w:tcW w:w="20" w:type="dxa"/>
            <w:vAlign w:val="bottom"/>
          </w:tcPr>
          <w:p>
            <w:pPr>
              <w:spacing w:after="0"/>
              <w:rPr>
                <w:sz w:val="15"/>
                <w:szCs w:val="15"/>
                <w:color w:val="auto"/>
              </w:rPr>
            </w:pPr>
          </w:p>
        </w:tc>
      </w:tr>
      <w:tr>
        <w:trPr>
          <w:trHeight w:val="182"/>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(4,042)</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(694)</w:t>
            </w: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(4,736)</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(3,331)</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(900)</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(4,231)</w:t>
            </w:r>
          </w:p>
        </w:tc>
        <w:tc>
          <w:tcPr>
            <w:tcW w:w="20" w:type="dxa"/>
            <w:vAlign w:val="bottom"/>
          </w:tcPr>
          <w:p>
            <w:pPr>
              <w:spacing w:after="0"/>
              <w:rPr>
                <w:sz w:val="15"/>
                <w:szCs w:val="15"/>
                <w:color w:val="auto"/>
              </w:rPr>
            </w:pPr>
          </w:p>
        </w:tc>
      </w:tr>
      <w:tr>
        <w:trPr>
          <w:trHeight w:val="189"/>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Changes in working capital and other items</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(271)</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tcPr>
          <w:p>
            <w:pPr>
              <w:spacing w:after="0"/>
              <w:rPr>
                <w:sz w:val="16"/>
                <w:szCs w:val="16"/>
                <w:color w:val="auto"/>
              </w:rPr>
            </w:pPr>
          </w:p>
        </w:tc>
      </w:tr>
      <w:tr>
        <w:trPr>
          <w:trHeight w:val="18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adjustments to net income (loss)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 w:type="dxa"/>
            <w:vAlign w:val="bottom"/>
          </w:tcPr>
          <w:p>
            <w:pPr>
              <w:spacing w:after="0"/>
              <w:rPr>
                <w:sz w:val="16"/>
                <w:szCs w:val="16"/>
                <w:color w:val="auto"/>
              </w:rPr>
            </w:pPr>
          </w:p>
        </w:tc>
      </w:tr>
      <w:tr>
        <w:trPr>
          <w:trHeight w:val="183"/>
        </w:trPr>
        <w:tc>
          <w:tcPr>
            <w:tcW w:w="3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EBITDA</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1,241</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(1,023)</w:t>
            </w:r>
          </w:p>
        </w:tc>
        <w:tc>
          <w:tcPr>
            <w:tcW w:w="18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218</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(3,348)</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(953)</w:t>
            </w:r>
          </w:p>
        </w:tc>
        <w:tc>
          <w:tcPr>
            <w:tcW w:w="18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(4,301)</w:t>
            </w:r>
          </w:p>
        </w:tc>
        <w:tc>
          <w:tcPr>
            <w:tcW w:w="20" w:type="dxa"/>
            <w:vAlign w:val="bottom"/>
            <w:tcBorders>
              <w:bottom w:val="single" w:sz="8" w:color="auto"/>
            </w:tcBorders>
          </w:tcPr>
          <w:p>
            <w:pPr>
              <w:spacing w:after="0"/>
              <w:rPr>
                <w:sz w:val="15"/>
                <w:szCs w:val="15"/>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11"/>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00"/>
              <w:spacing w:after="0" w:line="183" w:lineRule="exact"/>
              <w:rPr>
                <w:sz w:val="20"/>
                <w:szCs w:val="20"/>
                <w:color w:val="auto"/>
              </w:rPr>
            </w:pPr>
            <w:r>
              <w:rPr>
                <w:rFonts w:ascii="Times New Roman" w:cs="Times New Roman" w:eastAsia="Times New Roman" w:hAnsi="Times New Roman"/>
                <w:sz w:val="16"/>
                <w:szCs w:val="16"/>
                <w:b w:val="1"/>
                <w:bCs w:val="1"/>
                <w:color w:val="auto"/>
                <w:w w:val="99"/>
              </w:rPr>
              <w:t>2025 US</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line="183" w:lineRule="exact"/>
              <w:rPr>
                <w:sz w:val="20"/>
                <w:szCs w:val="20"/>
                <w:color w:val="auto"/>
              </w:rPr>
            </w:pPr>
            <w:r>
              <w:rPr>
                <w:rFonts w:ascii="Times New Roman" w:cs="Times New Roman" w:eastAsia="Times New Roman" w:hAnsi="Times New Roman"/>
                <w:sz w:val="16"/>
                <w:szCs w:val="16"/>
                <w:b w:val="1"/>
                <w:bCs w:val="1"/>
                <w:color w:val="auto"/>
                <w:w w:val="98"/>
              </w:rPr>
              <w:t>2025 CA</w:t>
            </w:r>
          </w:p>
        </w:tc>
        <w:tc>
          <w:tcPr>
            <w:tcW w:w="106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2025 Consol.</w:t>
            </w:r>
          </w:p>
        </w:tc>
        <w:tc>
          <w:tcPr>
            <w:tcW w:w="120" w:type="dxa"/>
            <w:vAlign w:val="bottom"/>
          </w:tcPr>
          <w:p>
            <w:pPr>
              <w:spacing w:after="0"/>
              <w:rPr>
                <w:sz w:val="15"/>
                <w:szCs w:val="15"/>
                <w:color w:val="auto"/>
              </w:rPr>
            </w:pPr>
          </w:p>
        </w:tc>
        <w:tc>
          <w:tcPr>
            <w:tcW w:w="880" w:type="dxa"/>
            <w:vAlign w:val="bottom"/>
            <w:gridSpan w:val="2"/>
          </w:tcPr>
          <w:p>
            <w:pPr>
              <w:jc w:val="right"/>
              <w:ind w:right="300"/>
              <w:spacing w:after="0" w:line="183" w:lineRule="exact"/>
              <w:rPr>
                <w:sz w:val="20"/>
                <w:szCs w:val="20"/>
                <w:color w:val="auto"/>
              </w:rPr>
            </w:pPr>
            <w:r>
              <w:rPr>
                <w:rFonts w:ascii="Times New Roman" w:cs="Times New Roman" w:eastAsia="Times New Roman" w:hAnsi="Times New Roman"/>
                <w:sz w:val="16"/>
                <w:szCs w:val="16"/>
                <w:b w:val="1"/>
                <w:bCs w:val="1"/>
                <w:color w:val="auto"/>
                <w:w w:val="99"/>
              </w:rPr>
              <w:t>2024 US</w:t>
            </w:r>
          </w:p>
        </w:tc>
        <w:tc>
          <w:tcPr>
            <w:tcW w:w="100" w:type="dxa"/>
            <w:vAlign w:val="bottom"/>
          </w:tcPr>
          <w:p>
            <w:pPr>
              <w:spacing w:after="0"/>
              <w:rPr>
                <w:sz w:val="15"/>
                <w:szCs w:val="15"/>
                <w:color w:val="auto"/>
              </w:rPr>
            </w:pPr>
          </w:p>
        </w:tc>
        <w:tc>
          <w:tcPr>
            <w:tcW w:w="880" w:type="dxa"/>
            <w:vAlign w:val="bottom"/>
            <w:gridSpan w:val="2"/>
          </w:tcPr>
          <w:p>
            <w:pPr>
              <w:jc w:val="right"/>
              <w:ind w:right="280"/>
              <w:spacing w:after="0" w:line="183" w:lineRule="exact"/>
              <w:rPr>
                <w:sz w:val="20"/>
                <w:szCs w:val="20"/>
                <w:color w:val="auto"/>
              </w:rPr>
            </w:pPr>
            <w:r>
              <w:rPr>
                <w:rFonts w:ascii="Times New Roman" w:cs="Times New Roman" w:eastAsia="Times New Roman" w:hAnsi="Times New Roman"/>
                <w:sz w:val="16"/>
                <w:szCs w:val="16"/>
                <w:b w:val="1"/>
                <w:bCs w:val="1"/>
                <w:color w:val="auto"/>
                <w:w w:val="98"/>
              </w:rPr>
              <w:t>2024 CA</w:t>
            </w:r>
          </w:p>
        </w:tc>
        <w:tc>
          <w:tcPr>
            <w:tcW w:w="9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w w:val="98"/>
              </w:rPr>
              <w:t>2024 Consol.</w:t>
            </w:r>
          </w:p>
        </w:tc>
        <w:tc>
          <w:tcPr>
            <w:tcW w:w="20" w:type="dxa"/>
            <w:vAlign w:val="bottom"/>
          </w:tcPr>
          <w:p>
            <w:pPr>
              <w:spacing w:after="0"/>
              <w:rPr>
                <w:sz w:val="15"/>
                <w:szCs w:val="15"/>
                <w:color w:val="auto"/>
              </w:rPr>
            </w:pPr>
          </w:p>
        </w:tc>
      </w:tr>
      <w:tr>
        <w:trPr>
          <w:trHeight w:val="183"/>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4,244</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7,647</w:t>
            </w: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11,891</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3,592</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3,559</w:t>
            </w:r>
          </w:p>
        </w:tc>
        <w:tc>
          <w:tcPr>
            <w:tcW w:w="20" w:type="dxa"/>
            <w:vAlign w:val="bottom"/>
          </w:tcPr>
          <w:p>
            <w:pPr>
              <w:spacing w:after="0"/>
              <w:rPr>
                <w:sz w:val="15"/>
                <w:szCs w:val="15"/>
                <w:color w:val="auto"/>
              </w:rPr>
            </w:pPr>
          </w:p>
        </w:tc>
      </w:tr>
      <w:tr>
        <w:trPr>
          <w:trHeight w:val="189"/>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Changes in working capital and other items</w:t>
            </w: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(5,877)</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(3,615)</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(9,492)</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(1,446)</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20" w:type="dxa"/>
            <w:vAlign w:val="bottom"/>
          </w:tcPr>
          <w:p>
            <w:pPr>
              <w:spacing w:after="0"/>
              <w:rPr>
                <w:sz w:val="16"/>
                <w:szCs w:val="16"/>
                <w:color w:val="auto"/>
              </w:rPr>
            </w:pPr>
          </w:p>
        </w:tc>
      </w:tr>
      <w:tr>
        <w:trPr>
          <w:trHeight w:val="18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adjustments to net (loss) income</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(1,002)</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(152)</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20" w:type="dxa"/>
            <w:vAlign w:val="bottom"/>
          </w:tcPr>
          <w:p>
            <w:pPr>
              <w:spacing w:after="0"/>
              <w:rPr>
                <w:sz w:val="16"/>
                <w:szCs w:val="16"/>
                <w:color w:val="auto"/>
              </w:rPr>
            </w:pPr>
          </w:p>
        </w:tc>
      </w:tr>
      <w:tr>
        <w:trPr>
          <w:trHeight w:val="183"/>
        </w:trPr>
        <w:tc>
          <w:tcPr>
            <w:tcW w:w="3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EBITDA</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(2,465)</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3,862</w:t>
            </w:r>
          </w:p>
        </w:tc>
        <w:tc>
          <w:tcPr>
            <w:tcW w:w="18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1,397</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(1,062)</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1,994</w:t>
            </w:r>
          </w:p>
        </w:tc>
        <w:tc>
          <w:tcPr>
            <w:tcW w:w="18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932</w:t>
            </w:r>
          </w:p>
        </w:tc>
        <w:tc>
          <w:tcPr>
            <w:tcW w:w="20" w:type="dxa"/>
            <w:vAlign w:val="bottom"/>
          </w:tcPr>
          <w:p>
            <w:pPr>
              <w:spacing w:after="0"/>
              <w:rPr>
                <w:sz w:val="15"/>
                <w:szCs w:val="15"/>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14"/>
        </w:trPr>
        <w:tc>
          <w:tcPr>
            <w:tcW w:w="3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4"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b w:val="1"/>
          <w:bCs w:val="1"/>
          <w:color w:val="auto"/>
        </w:rPr>
        <w:t>Statements of Operations by operating segment for the three and nine months ended September 30, 2025.</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USA Operations</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Canada Operations</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USA Operations</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Canada Operations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84"/>
        </w:trPr>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Fee revenue</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14,776</w:t>
            </w:r>
          </w:p>
        </w:tc>
        <w:tc>
          <w:tcPr>
            <w:tcW w:w="120" w:type="dxa"/>
            <w:vAlign w:val="bottom"/>
          </w:tcPr>
          <w:p>
            <w:pPr>
              <w:spacing w:after="0"/>
              <w:rPr>
                <w:sz w:val="16"/>
                <w:szCs w:val="16"/>
                <w:color w:val="auto"/>
              </w:rPr>
            </w:pPr>
          </w:p>
        </w:tc>
        <w:tc>
          <w:tcPr>
            <w:tcW w:w="38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6"/>
                <w:szCs w:val="16"/>
                <w:color w:val="auto"/>
              </w:rPr>
            </w:pP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14,942</w:t>
            </w:r>
          </w:p>
        </w:tc>
        <w:tc>
          <w:tcPr>
            <w:tcW w:w="8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25,906</w:t>
            </w:r>
          </w:p>
        </w:tc>
        <w:tc>
          <w:tcPr>
            <w:tcW w:w="100" w:type="dxa"/>
            <w:vAlign w:val="bottom"/>
          </w:tcPr>
          <w:p>
            <w:pPr>
              <w:spacing w:after="0"/>
              <w:rPr>
                <w:sz w:val="16"/>
                <w:szCs w:val="16"/>
                <w:color w:val="auto"/>
              </w:rPr>
            </w:pPr>
          </w:p>
        </w:tc>
        <w:tc>
          <w:tcPr>
            <w:tcW w:w="36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13,030</w:t>
            </w:r>
          </w:p>
        </w:tc>
        <w:tc>
          <w:tcPr>
            <w:tcW w:w="120" w:type="dxa"/>
            <w:vAlign w:val="bottom"/>
          </w:tcPr>
          <w:p>
            <w:pPr>
              <w:spacing w:after="0"/>
              <w:rPr>
                <w:sz w:val="16"/>
                <w:szCs w:val="16"/>
                <w:color w:val="auto"/>
              </w:rPr>
            </w:pP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revenue</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7,804</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22,579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22,746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35,395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13,280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48,675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Fee operating expenses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Reimbursable operating expenses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120"/>
              <w:spacing w:after="0" w:line="183" w:lineRule="exact"/>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19,532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927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20,459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32,575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8,380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40,955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22,531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1,387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23,918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41,185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9,999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51,184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(1,220)</w:t>
            </w:r>
          </w:p>
        </w:tc>
        <w:tc>
          <w:tcPr>
            <w:tcW w:w="2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(1,172)</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(5,790)</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c>
          <w:tcPr>
            <w:tcW w:w="3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(169)</w:t>
            </w:r>
          </w:p>
        </w:tc>
        <w:tc>
          <w:tcPr>
            <w:tcW w:w="3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Income (loss) before income tax</w:t>
            </w:r>
          </w:p>
        </w:tc>
        <w:tc>
          <w:tcPr>
            <w:tcW w:w="22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(1,213)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(1,143)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3,273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(2,504)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Borders>
              <w:top w:val="single" w:sz="8" w:color="auto"/>
              <w:bottom w:val="single" w:sz="8" w:color="auto"/>
            </w:tcBorders>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83"/>
              <w:spacing w:after="0" w:line="183"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(1,213)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4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(1,153)</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(5,783)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43"/>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3,273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6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Net unrealized (loss) income on</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exchange rate translation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5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20" w:type="dxa"/>
            <w:vAlign w:val="bottom"/>
            <w:tcBorders>
              <w:top w:val="single" w:sz="8" w:color="auto"/>
              <w:bottom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183"/>
              <w:spacing w:after="0" w:line="183"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(1,284)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4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(5,783)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143"/>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3,649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6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8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EBITDA</w:t>
            </w:r>
          </w:p>
        </w:tc>
        <w:tc>
          <w:tcPr>
            <w:tcW w:w="220" w:type="dxa"/>
            <w:vAlign w:val="bottom"/>
            <w:tcBorders>
              <w:bottom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1,241</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83"/>
              <w:spacing w:after="0" w:line="183"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(1,023)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4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218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(2,465)</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43"/>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3,862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6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5"/>
        </w:trPr>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b w:val="1"/>
          <w:bCs w:val="1"/>
          <w:color w:val="auto"/>
        </w:rPr>
        <w:t>Statements of Operations by operating segment for the three and nine months ended September 30, 2024.</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USA Operations</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Canada Operations</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USA Operations</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Canada Operations</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84"/>
        </w:trPr>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Fee revenue</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120" w:type="dxa"/>
            <w:vAlign w:val="bottom"/>
          </w:tcPr>
          <w:p>
            <w:pPr>
              <w:spacing w:after="0"/>
              <w:rPr>
                <w:sz w:val="16"/>
                <w:szCs w:val="16"/>
                <w:color w:val="auto"/>
              </w:rPr>
            </w:pPr>
          </w:p>
        </w:tc>
        <w:tc>
          <w:tcPr>
            <w:tcW w:w="38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6"/>
                <w:szCs w:val="16"/>
                <w:color w:val="auto"/>
              </w:rPr>
            </w:pP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8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31,260</w:t>
            </w:r>
          </w:p>
        </w:tc>
        <w:tc>
          <w:tcPr>
            <w:tcW w:w="100" w:type="dxa"/>
            <w:vAlign w:val="bottom"/>
          </w:tcPr>
          <w:p>
            <w:pPr>
              <w:spacing w:after="0"/>
              <w:rPr>
                <w:sz w:val="16"/>
                <w:szCs w:val="16"/>
                <w:color w:val="auto"/>
              </w:rPr>
            </w:pPr>
          </w:p>
        </w:tc>
        <w:tc>
          <w:tcPr>
            <w:tcW w:w="40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8,467</w:t>
            </w:r>
          </w:p>
        </w:tc>
        <w:tc>
          <w:tcPr>
            <w:tcW w:w="120" w:type="dxa"/>
            <w:vAlign w:val="bottom"/>
          </w:tcPr>
          <w:p>
            <w:pPr>
              <w:spacing w:after="0"/>
              <w:rPr>
                <w:sz w:val="16"/>
                <w:szCs w:val="16"/>
                <w:color w:val="auto"/>
              </w:rPr>
            </w:pP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revenue</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14,410</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14,421</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50,013</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8,504</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58,517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Fee operating expenses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Reimbursable operating expenses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Borders>
              <w:top w:val="single" w:sz="8" w:color="CCEEFF"/>
            </w:tcBorders>
            <w:shd w:val="clear" w:color="auto" w:fill="CCEEFF"/>
          </w:tcPr>
          <w:p>
            <w:pPr>
              <w:ind w:left="120"/>
              <w:spacing w:after="0" w:line="183" w:lineRule="exact"/>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15,410</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741</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16,151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44,946</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5,556</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50,502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18,959</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1,210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20,169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54,973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7,259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62,232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2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(4,549)</w:t>
            </w:r>
          </w:p>
        </w:tc>
        <w:tc>
          <w:tcPr>
            <w:tcW w:w="3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(1,199)</w:t>
            </w:r>
          </w:p>
        </w:tc>
        <w:tc>
          <w:tcPr>
            <w:tcW w:w="2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(5,748)</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(4,960)</w:t>
            </w: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w:t>
            </w:r>
          </w:p>
        </w:tc>
        <w:tc>
          <w:tcPr>
            <w:tcW w:w="4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(Loss) income before income tax</w:t>
            </w: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(4,458)</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(1,194)</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(5,652)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(4,516)</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1,235</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(3,281)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tax benefit (expense)</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(loss) income</w:t>
            </w:r>
          </w:p>
        </w:tc>
        <w:tc>
          <w:tcPr>
            <w:tcW w:w="220" w:type="dxa"/>
            <w:vAlign w:val="bottom"/>
            <w:tcBorders>
              <w:top w:val="single" w:sz="8" w:color="auto"/>
              <w:bottom w:val="single" w:sz="8" w:color="auto"/>
            </w:tcBorders>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(4,423)</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83"/>
              <w:spacing w:after="0" w:line="183"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(1,194)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4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(5,617)</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(4,552)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8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1,235</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6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Net unrealized income (loss) on</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exchange rate translation</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183"/>
        </w:trPr>
        <w:tc>
          <w:tcPr>
            <w:tcW w:w="25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220" w:type="dxa"/>
            <w:vAlign w:val="bottom"/>
            <w:tcBorders>
              <w:top w:val="single" w:sz="8" w:color="auto"/>
              <w:bottom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(4,423)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183"/>
              <w:spacing w:after="0" w:line="183"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(1,165)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4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(5,588)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(4,552)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18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994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6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(3,558)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8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EBITDA</w:t>
            </w:r>
          </w:p>
        </w:tc>
        <w:tc>
          <w:tcPr>
            <w:tcW w:w="220" w:type="dxa"/>
            <w:vAlign w:val="bottom"/>
            <w:tcBorders>
              <w:bottom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(3,348)</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83"/>
              <w:spacing w:after="0" w:line="183"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(953)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4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(4,301)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(1,062)</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18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1,994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63"/>
              <w:spacing w:after="0" w:line="183"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80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2025-11-12T15:37:09Z</dcterms:created>
  <dcterms:modified xsi:type="dcterms:W3CDTF">2025-11-12T15:37:09Z</dcterms:modified>
</cp:coreProperties>
</file>