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William Anthony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508 W. WALL STREET, SUITE 800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DAWSON GEOPHYSICAL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DWSN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8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10/27/2025</w:t>
            </w: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CEO &amp; President</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10/27/2025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150,000</w:t>
            </w:r>
            <w:r>
              <w:rPr>
                <w:rFonts w:ascii="Times New Roman" w:cs="Times New Roman" w:eastAsia="Times New Roman" w:hAnsi="Times New Roman"/>
                <w:sz w:val="22"/>
                <w:szCs w:val="22"/>
                <w:color w:val="008000"/>
                <w:vertAlign w:val="superscript"/>
              </w:rPr>
              <w:t>(1)</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151,850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6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granted to the reporting person under the Amended and Restated Dawson Geophysical Company 2016 Stock and Performance Incentive Plan. Each restricted stock unit represents the contingent right to receive one share of the Issuer's Class A common stock, par value $0.01 per share, and will vest in three equal annual installments beginning in October 2026.</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William Anthony Clark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10/28/2025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1594" TargetMode="External"/><Relationship Id="rId14"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2025-11-19T11:42:37Z</dcterms:created>
  <dcterms:modified xsi:type="dcterms:W3CDTF">2025-11-19T11:42:37Z</dcterms:modified>
</cp:coreProperties>
</file>